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A3" w:rsidRPr="007E08A3" w:rsidRDefault="007E08A3" w:rsidP="007E08A3">
      <w:pPr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E08A3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Технологическое присоединение</w:t>
      </w:r>
      <w:bookmarkStart w:id="0" w:name="_GoBack"/>
      <w:bookmarkEnd w:id="0"/>
    </w:p>
    <w:p w:rsidR="007E08A3" w:rsidRPr="007E08A3" w:rsidRDefault="007E08A3" w:rsidP="007E08A3">
      <w:pPr>
        <w:shd w:val="clear" w:color="auto" w:fill="FFFFFF"/>
        <w:spacing w:before="150" w:after="0" w:line="330" w:lineRule="atLeast"/>
        <w:ind w:firstLine="225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>Технологическое присоединение — комплекс технических мероприятий и юридических процедур, обеспечивающих в совокупности фактическое присоединение объектов заявителя (</w:t>
      </w:r>
      <w:proofErr w:type="spellStart"/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>энергопринимающих</w:t>
      </w:r>
      <w:proofErr w:type="spellEnd"/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 xml:space="preserve"> устройств, энергетических установок, объектов электросетевого хозяйств) к объектам электросетевого хозяйства сетевой организации, в которую была подана заявка на технологическое присоединение.</w:t>
      </w:r>
      <w:r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 xml:space="preserve"> </w:t>
      </w:r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 xml:space="preserve">Любые юридические и физические лица имеют право на технологическое присоединение своих </w:t>
      </w:r>
      <w:proofErr w:type="spellStart"/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>энергопринимающих</w:t>
      </w:r>
      <w:proofErr w:type="spellEnd"/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 xml:space="preserve"> устройств (энергетических установок) к электрическим сетям при наличии технической возможности и соблюдении ими установленных правил технологического </w:t>
      </w:r>
      <w:proofErr w:type="spellStart"/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>присоединения</w:t>
      </w:r>
      <w:proofErr w:type="gramStart"/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>.Т</w:t>
      </w:r>
      <w:proofErr w:type="gramEnd"/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>ехнологическое</w:t>
      </w:r>
      <w:proofErr w:type="spellEnd"/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 xml:space="preserve"> присоединение </w:t>
      </w:r>
      <w:proofErr w:type="spellStart"/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>энергопринимающих</w:t>
      </w:r>
      <w:proofErr w:type="spellEnd"/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 xml:space="preserve"> устройств юридических и физических лиц к электрическим сетям сетевой организации осуществляется в случаях:</w:t>
      </w:r>
    </w:p>
    <w:p w:rsidR="007E08A3" w:rsidRPr="007E08A3" w:rsidRDefault="007E08A3" w:rsidP="007E08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>присоединения впервые вводимых в эксплуатацию энергоустановок,</w:t>
      </w:r>
    </w:p>
    <w:p w:rsidR="007E08A3" w:rsidRPr="007E08A3" w:rsidRDefault="007E08A3" w:rsidP="007E08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 xml:space="preserve">ранее присоединенных реконструируемых </w:t>
      </w:r>
      <w:proofErr w:type="spellStart"/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>энергопринимающих</w:t>
      </w:r>
      <w:proofErr w:type="spellEnd"/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 xml:space="preserve"> устройств, присоединенная мощность которых увеличивается,</w:t>
      </w:r>
    </w:p>
    <w:p w:rsidR="007E08A3" w:rsidRPr="007E08A3" w:rsidRDefault="007E08A3" w:rsidP="007E08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 xml:space="preserve">при изменении категории надежности электроснабжения, точки присоединения, вида производственной деятельности, не влекущие пересмотр величины присоединенной мощности, но изменяющие схему внешнего электроснабжения </w:t>
      </w:r>
      <w:proofErr w:type="spellStart"/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>энергопринимающих</w:t>
      </w:r>
      <w:proofErr w:type="spellEnd"/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 xml:space="preserve"> устройств.</w:t>
      </w:r>
    </w:p>
    <w:p w:rsidR="007E08A3" w:rsidRPr="007E08A3" w:rsidRDefault="007E08A3" w:rsidP="007E08A3">
      <w:pPr>
        <w:shd w:val="clear" w:color="auto" w:fill="FFFFFF"/>
        <w:spacing w:before="150" w:after="0" w:line="330" w:lineRule="atLeast"/>
        <w:ind w:firstLine="225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 xml:space="preserve">Процедура технологического присоединения регламентирована «Правилами технологического присоединения </w:t>
      </w:r>
      <w:proofErr w:type="spellStart"/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>энергопринимающих</w:t>
      </w:r>
      <w:proofErr w:type="spellEnd"/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 xml:space="preserve"> устройств (энергетических установок) юридических и физических лиц к электрическим сетям к электрическим сетям» утверждёнными Постановлением Правительства РФ №861.</w:t>
      </w:r>
    </w:p>
    <w:p w:rsidR="007E08A3" w:rsidRPr="007E08A3" w:rsidRDefault="007E08A3" w:rsidP="007E08A3">
      <w:pPr>
        <w:shd w:val="clear" w:color="auto" w:fill="FFFFFF"/>
        <w:spacing w:before="150" w:after="0" w:line="330" w:lineRule="atLeast"/>
        <w:ind w:firstLine="225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7E08A3">
        <w:rPr>
          <w:rFonts w:ascii="Verdana" w:eastAsia="Times New Roman" w:hAnsi="Verdana" w:cs="Times New Roman"/>
          <w:b/>
          <w:bCs/>
          <w:color w:val="2E2E2E"/>
          <w:sz w:val="18"/>
          <w:szCs w:val="18"/>
          <w:lang w:eastAsia="ru-RU"/>
        </w:rPr>
        <w:t>«Процедура технологического присоединения»:</w:t>
      </w:r>
    </w:p>
    <w:p w:rsidR="007E08A3" w:rsidRPr="007E08A3" w:rsidRDefault="007E08A3" w:rsidP="007E08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 xml:space="preserve">подача заявки юридическим или физическим лицом (далее — заявитель), которое имеет намерение осуществить технологическое присоединение, реконструкцию и увеличение объема присоединенной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присоединенной мощности, но изменяющие схему внешнего электроснабжения </w:t>
      </w:r>
      <w:proofErr w:type="spellStart"/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>энергопринимающих</w:t>
      </w:r>
      <w:proofErr w:type="spellEnd"/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 xml:space="preserve"> устройств заявителя;</w:t>
      </w:r>
    </w:p>
    <w:p w:rsidR="007E08A3" w:rsidRPr="007E08A3" w:rsidRDefault="007E08A3" w:rsidP="007E08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>заключение договора;</w:t>
      </w:r>
    </w:p>
    <w:p w:rsidR="007E08A3" w:rsidRPr="007E08A3" w:rsidRDefault="007E08A3" w:rsidP="007E08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>выполнение сторонами договора мероприятий, предусмотренных договором;</w:t>
      </w:r>
    </w:p>
    <w:p w:rsidR="007E08A3" w:rsidRPr="007E08A3" w:rsidRDefault="007E08A3" w:rsidP="007E08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>получение разрешения уполномоченного федерального органа исполнительной власти по технологическому надзору на допуск в эксплуатацию объектов заявителя (за исключением объектов максимальной мощностью до 670 кВт);</w:t>
      </w:r>
    </w:p>
    <w:p w:rsidR="007E08A3" w:rsidRPr="007E08A3" w:rsidRDefault="007E08A3" w:rsidP="007E08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>осуществление сетевой организацией фактического присоединения объектов заявителя  к электрическим сетям;</w:t>
      </w:r>
    </w:p>
    <w:p w:rsidR="007E08A3" w:rsidRPr="007E08A3" w:rsidRDefault="007E08A3" w:rsidP="007E08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>фактический прием (подачу) напряжения и мощности, осуществляемый путем включения коммутационного аппарата (фиксация коммутационного аппарата в положении «включено»;</w:t>
      </w:r>
    </w:p>
    <w:p w:rsidR="007E08A3" w:rsidRPr="007E08A3" w:rsidRDefault="007E08A3" w:rsidP="007E08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>составление акта о технологическом присоединении и акта разграничения балансовой принадлежности и эксплуатационной ответственности и акт согласования технологической и (или) аварийной брони (для заявителей, указанных в пункте 14.2 настоящих Правил).</w:t>
      </w:r>
    </w:p>
    <w:p w:rsidR="007E08A3" w:rsidRPr="007E08A3" w:rsidRDefault="007E08A3" w:rsidP="007E08A3">
      <w:pPr>
        <w:shd w:val="clear" w:color="auto" w:fill="FFFFFF"/>
        <w:spacing w:before="150" w:after="0" w:line="330" w:lineRule="atLeast"/>
        <w:ind w:firstLine="225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lastRenderedPageBreak/>
        <w:t>Плата за технологическое присоединение к электрическим сетям подлежит государственному регулированию. Тариф на подключение к электросетям устанавливается уполномоченными органами в области государственного регулирования тарифов.</w:t>
      </w:r>
    </w:p>
    <w:p w:rsidR="007E08A3" w:rsidRPr="007E08A3" w:rsidRDefault="007E08A3" w:rsidP="007E08A3">
      <w:pPr>
        <w:shd w:val="clear" w:color="auto" w:fill="FFFFFF"/>
        <w:spacing w:before="150" w:after="0" w:line="330" w:lineRule="atLeast"/>
        <w:ind w:firstLine="225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7E08A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Срок осуществления мероприятий по технологическому присоединению в договоре технологического присоединения к электрическим сетям определяется в соответствии с пунктом 16  </w:t>
      </w:r>
      <w:hyperlink r:id="rId6" w:tgtFrame="_blank" w:history="1">
        <w:r w:rsidRPr="007E08A3">
          <w:rPr>
            <w:rFonts w:ascii="Verdana" w:eastAsia="Times New Roman" w:hAnsi="Verdana" w:cs="Times New Roman"/>
            <w:sz w:val="18"/>
            <w:szCs w:val="18"/>
            <w:lang w:eastAsia="ru-RU"/>
          </w:rPr>
          <w:t xml:space="preserve">Правил технологического присоединения </w:t>
        </w:r>
        <w:proofErr w:type="spellStart"/>
        <w:r w:rsidRPr="007E08A3">
          <w:rPr>
            <w:rFonts w:ascii="Verdana" w:eastAsia="Times New Roman" w:hAnsi="Verdana" w:cs="Times New Roman"/>
            <w:sz w:val="18"/>
            <w:szCs w:val="18"/>
            <w:lang w:eastAsia="ru-RU"/>
          </w:rPr>
          <w:t>энергопринимающих</w:t>
        </w:r>
        <w:proofErr w:type="spellEnd"/>
        <w:r w:rsidRPr="007E08A3">
          <w:rPr>
            <w:rFonts w:ascii="Verdana" w:eastAsia="Times New Roman" w:hAnsi="Verdana" w:cs="Times New Roman"/>
            <w:sz w:val="18"/>
            <w:szCs w:val="18"/>
            <w:lang w:eastAsia="ru-RU"/>
          </w:rPr>
          <w:t xml:space="preserve"> устройств (энергетических установок) юридических и физических лиц к электрическим сетям (утв. постановлением Правительства РФ от 27 декабря 2004г.</w:t>
        </w:r>
        <w:proofErr w:type="gramEnd"/>
        <w:r w:rsidRPr="007E08A3">
          <w:rPr>
            <w:rFonts w:ascii="Verdana" w:eastAsia="Times New Roman" w:hAnsi="Verdana" w:cs="Times New Roman"/>
            <w:sz w:val="18"/>
            <w:szCs w:val="18"/>
            <w:lang w:eastAsia="ru-RU"/>
          </w:rPr>
          <w:t xml:space="preserve"> </w:t>
        </w:r>
        <w:proofErr w:type="gramStart"/>
        <w:r w:rsidRPr="007E08A3">
          <w:rPr>
            <w:rFonts w:ascii="Verdana" w:eastAsia="Times New Roman" w:hAnsi="Verdana" w:cs="Times New Roman"/>
            <w:sz w:val="18"/>
            <w:szCs w:val="18"/>
            <w:lang w:eastAsia="ru-RU"/>
          </w:rPr>
          <w:t>N 861)(с последними изменениями от 1</w:t>
        </w:r>
        <w:r>
          <w:rPr>
            <w:rFonts w:ascii="Verdana" w:eastAsia="Times New Roman" w:hAnsi="Verdana" w:cs="Times New Roman"/>
            <w:sz w:val="18"/>
            <w:szCs w:val="18"/>
            <w:lang w:eastAsia="ru-RU"/>
          </w:rPr>
          <w:t>0.11.</w:t>
        </w:r>
        <w:r w:rsidRPr="007E08A3">
          <w:rPr>
            <w:rFonts w:ascii="Verdana" w:eastAsia="Times New Roman" w:hAnsi="Verdana" w:cs="Times New Roman"/>
            <w:sz w:val="18"/>
            <w:szCs w:val="18"/>
            <w:lang w:eastAsia="ru-RU"/>
          </w:rPr>
          <w:t>2017 г.)</w:t>
        </w:r>
      </w:hyperlink>
      <w:r w:rsidRPr="007E08A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proofErr w:type="gramEnd"/>
    </w:p>
    <w:p w:rsidR="007E08A3" w:rsidRPr="007E08A3" w:rsidRDefault="007E08A3" w:rsidP="007E08A3">
      <w:pPr>
        <w:shd w:val="clear" w:color="auto" w:fill="FFFFFF"/>
        <w:spacing w:before="150" w:after="0" w:line="330" w:lineRule="atLeast"/>
        <w:ind w:firstLine="225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7E08A3">
        <w:rPr>
          <w:rFonts w:ascii="Verdana" w:eastAsia="Times New Roman" w:hAnsi="Verdana" w:cs="Times New Roman"/>
          <w:b/>
          <w:bCs/>
          <w:color w:val="2E2E2E"/>
          <w:sz w:val="18"/>
          <w:szCs w:val="18"/>
          <w:lang w:eastAsia="ru-RU"/>
        </w:rPr>
        <w:t>Уважаемые клиенты!</w:t>
      </w:r>
    </w:p>
    <w:p w:rsidR="007E08A3" w:rsidRPr="007E08A3" w:rsidRDefault="007E08A3" w:rsidP="007E08A3">
      <w:pPr>
        <w:shd w:val="clear" w:color="auto" w:fill="FFFFFF"/>
        <w:spacing w:before="150" w:after="0" w:line="330" w:lineRule="atLeast"/>
        <w:ind w:firstLine="225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 xml:space="preserve">Напоминаем, что в целях технологического присоединения </w:t>
      </w:r>
      <w:proofErr w:type="spellStart"/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>энергопринимающих</w:t>
      </w:r>
      <w:proofErr w:type="spellEnd"/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 xml:space="preserve"> устройств к электрическим сетям АО «</w:t>
      </w:r>
      <w:r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>Западная энергетическая компания</w:t>
      </w:r>
      <w:r w:rsidRPr="007E08A3"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 xml:space="preserve">» Вам необходимо обратиться </w:t>
      </w:r>
      <w:r w:rsidRPr="007E08A3">
        <w:rPr>
          <w:rFonts w:ascii="Verdana" w:eastAsia="Times New Roman" w:hAnsi="Verdana" w:cs="Times New Roman"/>
          <w:sz w:val="18"/>
          <w:szCs w:val="18"/>
          <w:lang w:eastAsia="ru-RU"/>
        </w:rPr>
        <w:t>с </w:t>
      </w:r>
      <w:hyperlink r:id="rId7" w:history="1">
        <w:r w:rsidRPr="007E08A3">
          <w:rPr>
            <w:rFonts w:ascii="Verdana" w:eastAsia="Times New Roman" w:hAnsi="Verdana" w:cs="Times New Roman"/>
            <w:sz w:val="18"/>
            <w:szCs w:val="18"/>
            <w:lang w:eastAsia="ru-RU"/>
          </w:rPr>
          <w:t>заявкой</w:t>
        </w:r>
      </w:hyperlink>
      <w:hyperlink r:id="rId8" w:history="1">
        <w:r w:rsidRPr="007E08A3">
          <w:rPr>
            <w:rFonts w:ascii="Verdana" w:eastAsia="Times New Roman" w:hAnsi="Verdana" w:cs="Times New Roman"/>
            <w:sz w:val="18"/>
            <w:szCs w:val="18"/>
            <w:lang w:eastAsia="ru-RU"/>
          </w:rPr>
          <w:t> на</w:t>
        </w:r>
      </w:hyperlink>
      <w:hyperlink r:id="rId9" w:history="1">
        <w:r w:rsidRPr="007E08A3">
          <w:rPr>
            <w:rFonts w:ascii="Verdana" w:eastAsia="Times New Roman" w:hAnsi="Verdana" w:cs="Times New Roman"/>
            <w:sz w:val="18"/>
            <w:szCs w:val="18"/>
            <w:lang w:eastAsia="ru-RU"/>
          </w:rPr>
          <w:t> технологическое присоединение</w:t>
        </w:r>
      </w:hyperlink>
      <w:r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D34CA7" w:rsidRDefault="00D34CA7"/>
    <w:sectPr w:rsidR="00D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E456B"/>
    <w:multiLevelType w:val="multilevel"/>
    <w:tmpl w:val="9AEE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402E2"/>
    <w:multiLevelType w:val="multilevel"/>
    <w:tmpl w:val="82C0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D1"/>
    <w:rsid w:val="007E08A3"/>
    <w:rsid w:val="008B2ED1"/>
    <w:rsid w:val="00D3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tarenergo.ru/klientam/tipovie-formi-dokumentov/tipovie-formi-tp/tipovie-formi-zayavok-na-tehnologicheskoe-prisoedine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antarenergo.ru/klientam/tipovie-formi-dokumentov/tipovie-formi-tp/tipovie-formi-zayavok-na-tehnologicheskoe-prisoedin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ntarenergo.ru/wp-content/uploads/2013/01/Postanovlenie-Pravitelstva-RF-ot-27-dekabrya-2004-g.-N-861-...-fragment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/klientam/tipovie-formi-dokumentov/tipovie-formi-tp/tipovie-formi-zayavok-na-tehnologicheskoe-prisoedin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Б. Апинит</dc:creator>
  <cp:keywords/>
  <dc:description/>
  <cp:lastModifiedBy>Олег Б. Апинит</cp:lastModifiedBy>
  <cp:revision>2</cp:revision>
  <dcterms:created xsi:type="dcterms:W3CDTF">2017-11-28T15:24:00Z</dcterms:created>
  <dcterms:modified xsi:type="dcterms:W3CDTF">2017-11-28T15:31:00Z</dcterms:modified>
</cp:coreProperties>
</file>