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5E" w:rsidRPr="002707D4" w:rsidRDefault="006E2B5E" w:rsidP="006E2B5E">
      <w:pPr>
        <w:pStyle w:val="ConsPlusNonformat"/>
        <w:jc w:val="both"/>
        <w:rPr>
          <w:rFonts w:ascii="Times New Roman" w:hAnsi="Times New Roman" w:cs="Times New Roman"/>
          <w:b/>
          <w:sz w:val="24"/>
          <w:szCs w:val="24"/>
        </w:rPr>
      </w:pPr>
      <w:r w:rsidRPr="006E2B5E">
        <w:rPr>
          <w:rFonts w:ascii="Times New Roman" w:hAnsi="Times New Roman" w:cs="Times New Roman"/>
          <w:sz w:val="24"/>
          <w:szCs w:val="24"/>
        </w:rPr>
        <w:t xml:space="preserve">               </w:t>
      </w:r>
      <w:r w:rsidRPr="002707D4">
        <w:rPr>
          <w:rFonts w:ascii="Times New Roman" w:hAnsi="Times New Roman" w:cs="Times New Roman"/>
          <w:b/>
          <w:sz w:val="24"/>
          <w:szCs w:val="24"/>
        </w:rPr>
        <w:t>ПАСПОРТ УСЛУГИ (ПРОЦЕССА) СЕТЕВОЙ ОРГАНИЗАЦИИ</w:t>
      </w:r>
    </w:p>
    <w:p w:rsidR="006E2B5E" w:rsidRPr="006E2B5E" w:rsidRDefault="006E2B5E" w:rsidP="006E2B5E">
      <w:pPr>
        <w:pStyle w:val="ConsPlusNonformat"/>
        <w:jc w:val="both"/>
        <w:rPr>
          <w:rFonts w:ascii="Times New Roman" w:hAnsi="Times New Roman" w:cs="Times New Roman"/>
          <w:sz w:val="24"/>
          <w:szCs w:val="24"/>
        </w:rPr>
      </w:pPr>
    </w:p>
    <w:p w:rsidR="006E2B5E" w:rsidRDefault="006E2B5E" w:rsidP="006E2B5E">
      <w:pPr>
        <w:pStyle w:val="ConsPlusNonformat"/>
        <w:jc w:val="center"/>
        <w:rPr>
          <w:rFonts w:ascii="Times New Roman" w:hAnsi="Times New Roman" w:cs="Times New Roman"/>
          <w:sz w:val="24"/>
          <w:szCs w:val="24"/>
        </w:rPr>
      </w:pPr>
      <w:r w:rsidRPr="006E2B5E">
        <w:rPr>
          <w:rFonts w:ascii="Times New Roman" w:hAnsi="Times New Roman" w:cs="Times New Roman"/>
          <w:sz w:val="24"/>
          <w:szCs w:val="24"/>
        </w:rPr>
        <w:t>Технологическое присоединение к электрическим сетям АО «Западная энергетическая компания»</w:t>
      </w:r>
      <w:r w:rsidR="0066590A">
        <w:rPr>
          <w:rFonts w:ascii="Times New Roman" w:hAnsi="Times New Roman" w:cs="Times New Roman"/>
          <w:sz w:val="24"/>
          <w:szCs w:val="24"/>
        </w:rPr>
        <w:t xml:space="preserve"> посредством перераспределения максимальной мощности между юридическими лицами и индивидуальными предпринимателями (в том числе опосредованное присоединение)</w:t>
      </w:r>
    </w:p>
    <w:p w:rsidR="006E2B5E" w:rsidRDefault="006E2B5E" w:rsidP="006E2B5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w:t>
      </w:r>
      <w:bookmarkStart w:id="0" w:name="_GoBack"/>
      <w:bookmarkEnd w:id="0"/>
      <w:r>
        <w:rPr>
          <w:rFonts w:ascii="Times New Roman" w:hAnsi="Times New Roman" w:cs="Times New Roman"/>
          <w:sz w:val="24"/>
          <w:szCs w:val="24"/>
        </w:rPr>
        <w:t>_______________________________________________________</w:t>
      </w:r>
      <w:r w:rsidRPr="006E2B5E">
        <w:rPr>
          <w:rFonts w:ascii="Times New Roman" w:hAnsi="Times New Roman" w:cs="Times New Roman"/>
          <w:sz w:val="24"/>
          <w:szCs w:val="24"/>
        </w:rPr>
        <w:t xml:space="preserve">                      </w:t>
      </w:r>
    </w:p>
    <w:p w:rsidR="006E2B5E" w:rsidRPr="006E2B5E" w:rsidRDefault="006E2B5E" w:rsidP="006E2B5E">
      <w:pPr>
        <w:pStyle w:val="ConsPlusNonformat"/>
        <w:jc w:val="center"/>
        <w:rPr>
          <w:rFonts w:ascii="Times New Roman" w:hAnsi="Times New Roman" w:cs="Times New Roman"/>
          <w:sz w:val="24"/>
          <w:szCs w:val="24"/>
        </w:rPr>
      </w:pPr>
      <w:r w:rsidRPr="006E2B5E">
        <w:rPr>
          <w:rFonts w:ascii="Times New Roman" w:hAnsi="Times New Roman" w:cs="Times New Roman"/>
          <w:sz w:val="24"/>
          <w:szCs w:val="24"/>
        </w:rPr>
        <w:t>наименование услуги (процесса)</w:t>
      </w:r>
    </w:p>
    <w:p w:rsidR="006E2B5E" w:rsidRPr="006E2B5E" w:rsidRDefault="006E2B5E" w:rsidP="006E2B5E">
      <w:pPr>
        <w:pStyle w:val="ConsPlusNonformat"/>
        <w:jc w:val="both"/>
        <w:rPr>
          <w:rFonts w:ascii="Times New Roman" w:hAnsi="Times New Roman" w:cs="Times New Roman"/>
          <w:sz w:val="24"/>
          <w:szCs w:val="24"/>
        </w:rPr>
      </w:pPr>
    </w:p>
    <w:p w:rsidR="006E2B5E" w:rsidRDefault="006E2B5E" w:rsidP="006E2B5E">
      <w:pPr>
        <w:pStyle w:val="ConsPlusNonformat"/>
        <w:jc w:val="both"/>
        <w:rPr>
          <w:rFonts w:ascii="Times New Roman" w:hAnsi="Times New Roman" w:cs="Times New Roman"/>
          <w:sz w:val="24"/>
          <w:szCs w:val="24"/>
        </w:rPr>
      </w:pPr>
      <w:r w:rsidRPr="006E2B5E">
        <w:rPr>
          <w:rFonts w:ascii="Times New Roman" w:hAnsi="Times New Roman" w:cs="Times New Roman"/>
          <w:sz w:val="24"/>
          <w:szCs w:val="24"/>
          <w:u w:val="single"/>
        </w:rPr>
        <w:t>Круг заявителей</w:t>
      </w:r>
      <w:r>
        <w:rPr>
          <w:rFonts w:ascii="Times New Roman" w:hAnsi="Times New Roman" w:cs="Times New Roman"/>
          <w:sz w:val="24"/>
          <w:szCs w:val="24"/>
        </w:rPr>
        <w:t xml:space="preserve">: </w:t>
      </w:r>
      <w:r w:rsidR="0066590A">
        <w:rPr>
          <w:rFonts w:ascii="Times New Roman" w:hAnsi="Times New Roman" w:cs="Times New Roman"/>
          <w:sz w:val="24"/>
          <w:szCs w:val="24"/>
        </w:rPr>
        <w:t xml:space="preserve">Юридические </w:t>
      </w:r>
      <w:r>
        <w:rPr>
          <w:rFonts w:ascii="Times New Roman" w:hAnsi="Times New Roman" w:cs="Times New Roman"/>
          <w:sz w:val="24"/>
          <w:szCs w:val="24"/>
        </w:rPr>
        <w:t>и индивидуальные предприниматели</w:t>
      </w:r>
      <w:r w:rsidRPr="006E2B5E">
        <w:rPr>
          <w:rFonts w:ascii="Times New Roman" w:hAnsi="Times New Roman" w:cs="Times New Roman"/>
          <w:sz w:val="24"/>
          <w:szCs w:val="24"/>
        </w:rPr>
        <w:t>.</w:t>
      </w:r>
    </w:p>
    <w:p w:rsidR="006E2B5E" w:rsidRPr="006E2B5E" w:rsidRDefault="006E2B5E" w:rsidP="006E2B5E">
      <w:pPr>
        <w:pStyle w:val="ConsPlusNonformat"/>
        <w:jc w:val="both"/>
        <w:rPr>
          <w:rFonts w:ascii="Times New Roman" w:hAnsi="Times New Roman" w:cs="Times New Roman"/>
          <w:sz w:val="24"/>
          <w:szCs w:val="24"/>
        </w:rPr>
      </w:pPr>
    </w:p>
    <w:p w:rsidR="006E2B5E" w:rsidRPr="006E2B5E" w:rsidRDefault="006E2B5E" w:rsidP="006E2B5E">
      <w:pPr>
        <w:pStyle w:val="ConsPlusNonformat"/>
        <w:jc w:val="both"/>
        <w:rPr>
          <w:rFonts w:ascii="Times New Roman" w:hAnsi="Times New Roman" w:cs="Times New Roman"/>
          <w:sz w:val="24"/>
          <w:szCs w:val="24"/>
          <w:u w:val="single"/>
        </w:rPr>
      </w:pPr>
      <w:r w:rsidRPr="006E2B5E">
        <w:rPr>
          <w:rFonts w:ascii="Times New Roman" w:hAnsi="Times New Roman" w:cs="Times New Roman"/>
          <w:sz w:val="24"/>
          <w:szCs w:val="24"/>
          <w:u w:val="single"/>
        </w:rPr>
        <w:t>Размер платы за предоставление услуги (процесса) и основание ее взимания:</w:t>
      </w:r>
    </w:p>
    <w:p w:rsidR="006E2B5E" w:rsidRDefault="006E2B5E" w:rsidP="006E2B5E">
      <w:pPr>
        <w:pStyle w:val="ConsPlusNonformat"/>
        <w:jc w:val="both"/>
        <w:rPr>
          <w:rFonts w:ascii="Times New Roman" w:hAnsi="Times New Roman" w:cs="Times New Roman"/>
          <w:sz w:val="24"/>
          <w:szCs w:val="24"/>
        </w:rPr>
      </w:pPr>
      <w:r>
        <w:rPr>
          <w:rFonts w:ascii="Times New Roman" w:hAnsi="Times New Roman" w:cs="Times New Roman"/>
          <w:sz w:val="24"/>
          <w:szCs w:val="24"/>
        </w:rPr>
        <w:t>Приказ Службы по государственному регулированию цен и тарифов Калининградской области от 26 декабря 2016 года №146-01тп./16</w:t>
      </w:r>
      <w:r w:rsidR="00D34F75">
        <w:rPr>
          <w:rFonts w:ascii="Times New Roman" w:hAnsi="Times New Roman" w:cs="Times New Roman"/>
          <w:sz w:val="24"/>
          <w:szCs w:val="24"/>
        </w:rPr>
        <w:t xml:space="preserve">  (далее Приказ Службы)</w:t>
      </w:r>
      <w:r>
        <w:rPr>
          <w:rFonts w:ascii="Times New Roman" w:hAnsi="Times New Roman" w:cs="Times New Roman"/>
          <w:sz w:val="24"/>
          <w:szCs w:val="24"/>
        </w:rPr>
        <w:t>:</w:t>
      </w:r>
    </w:p>
    <w:p w:rsidR="006E2B5E" w:rsidRPr="006E2B5E" w:rsidRDefault="002D5EC9" w:rsidP="00D34F75">
      <w:pPr>
        <w:pStyle w:val="ConsPlusNonforma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Для расчета платы за технологическое присоединение к электрическим сетям </w:t>
      </w:r>
      <w:r w:rsidR="00D34F75">
        <w:rPr>
          <w:rFonts w:ascii="Times New Roman" w:hAnsi="Times New Roman" w:cs="Times New Roman"/>
          <w:sz w:val="24"/>
          <w:szCs w:val="24"/>
        </w:rPr>
        <w:t xml:space="preserve">территориальных сетевых организаций Калининградской области </w:t>
      </w:r>
      <w:r w:rsidR="00D34F75" w:rsidRPr="00D34F75">
        <w:rPr>
          <w:rFonts w:ascii="Times New Roman" w:hAnsi="Times New Roman" w:cs="Times New Roman"/>
          <w:sz w:val="24"/>
          <w:szCs w:val="24"/>
        </w:rPr>
        <w:t xml:space="preserve">в других случаях </w:t>
      </w:r>
      <w:r w:rsidR="00D34F75">
        <w:rPr>
          <w:rFonts w:ascii="Times New Roman" w:hAnsi="Times New Roman" w:cs="Times New Roman"/>
          <w:sz w:val="24"/>
          <w:szCs w:val="24"/>
        </w:rPr>
        <w:t xml:space="preserve">Приказом Службы </w:t>
      </w:r>
      <w:r>
        <w:rPr>
          <w:rFonts w:ascii="Times New Roman" w:hAnsi="Times New Roman" w:cs="Times New Roman"/>
          <w:sz w:val="24"/>
          <w:szCs w:val="24"/>
        </w:rPr>
        <w:t xml:space="preserve">установлены стандартизированные тарифные ставки </w:t>
      </w:r>
      <w:r w:rsidR="00D34F75" w:rsidRPr="00D34F75">
        <w:rPr>
          <w:rFonts w:ascii="Times New Roman" w:hAnsi="Times New Roman" w:cs="Times New Roman"/>
          <w:sz w:val="24"/>
          <w:szCs w:val="24"/>
        </w:rPr>
        <w:t>на 2017 год</w:t>
      </w:r>
      <w:r w:rsidR="00D34F75">
        <w:rPr>
          <w:rFonts w:ascii="Times New Roman" w:hAnsi="Times New Roman" w:cs="Times New Roman"/>
          <w:sz w:val="24"/>
          <w:szCs w:val="24"/>
        </w:rPr>
        <w:t xml:space="preserve"> и формулы для расчета платы за технологическое присоединение</w:t>
      </w:r>
      <w:r w:rsidR="00D34F75" w:rsidRPr="00D34F75">
        <w:t xml:space="preserve"> </w:t>
      </w:r>
      <w:r w:rsidR="00D34F75" w:rsidRPr="00D34F75">
        <w:rPr>
          <w:rFonts w:ascii="Times New Roman" w:hAnsi="Times New Roman" w:cs="Times New Roman"/>
          <w:sz w:val="24"/>
          <w:szCs w:val="24"/>
        </w:rPr>
        <w:t>к электрическим сетям</w:t>
      </w:r>
      <w:r w:rsidR="00D34F75">
        <w:rPr>
          <w:rFonts w:ascii="Times New Roman" w:hAnsi="Times New Roman" w:cs="Times New Roman"/>
          <w:sz w:val="24"/>
          <w:szCs w:val="24"/>
        </w:rPr>
        <w:t xml:space="preserve"> исходя из  </w:t>
      </w:r>
      <w:r w:rsidR="00D34F75" w:rsidRPr="00D34F75">
        <w:rPr>
          <w:rFonts w:ascii="Times New Roman" w:hAnsi="Times New Roman" w:cs="Times New Roman"/>
          <w:sz w:val="24"/>
          <w:szCs w:val="24"/>
        </w:rPr>
        <w:t>стандартизированны</w:t>
      </w:r>
      <w:r w:rsidR="00D34F75">
        <w:rPr>
          <w:rFonts w:ascii="Times New Roman" w:hAnsi="Times New Roman" w:cs="Times New Roman"/>
          <w:sz w:val="24"/>
          <w:szCs w:val="24"/>
        </w:rPr>
        <w:t>х</w:t>
      </w:r>
      <w:r w:rsidR="00D34F75" w:rsidRPr="00D34F75">
        <w:rPr>
          <w:rFonts w:ascii="Times New Roman" w:hAnsi="Times New Roman" w:cs="Times New Roman"/>
          <w:sz w:val="24"/>
          <w:szCs w:val="24"/>
        </w:rPr>
        <w:t xml:space="preserve"> тарифны</w:t>
      </w:r>
      <w:r w:rsidR="00D34F75">
        <w:rPr>
          <w:rFonts w:ascii="Times New Roman" w:hAnsi="Times New Roman" w:cs="Times New Roman"/>
          <w:sz w:val="24"/>
          <w:szCs w:val="24"/>
        </w:rPr>
        <w:t>х</w:t>
      </w:r>
      <w:r w:rsidR="00D34F75" w:rsidRPr="00D34F75">
        <w:rPr>
          <w:rFonts w:ascii="Times New Roman" w:hAnsi="Times New Roman" w:cs="Times New Roman"/>
          <w:sz w:val="24"/>
          <w:szCs w:val="24"/>
        </w:rPr>
        <w:t xml:space="preserve"> став</w:t>
      </w:r>
      <w:r w:rsidR="00D34F75">
        <w:rPr>
          <w:rFonts w:ascii="Times New Roman" w:hAnsi="Times New Roman" w:cs="Times New Roman"/>
          <w:sz w:val="24"/>
          <w:szCs w:val="24"/>
        </w:rPr>
        <w:t>о</w:t>
      </w:r>
      <w:r w:rsidR="00D34F75" w:rsidRPr="00D34F75">
        <w:rPr>
          <w:rFonts w:ascii="Times New Roman" w:hAnsi="Times New Roman" w:cs="Times New Roman"/>
          <w:sz w:val="24"/>
          <w:szCs w:val="24"/>
        </w:rPr>
        <w:t>к</w:t>
      </w:r>
      <w:r w:rsidR="00D34F75">
        <w:rPr>
          <w:rFonts w:ascii="Times New Roman" w:hAnsi="Times New Roman" w:cs="Times New Roman"/>
          <w:sz w:val="24"/>
          <w:szCs w:val="24"/>
        </w:rPr>
        <w:t xml:space="preserve"> и способа технологического присоединения.</w:t>
      </w:r>
    </w:p>
    <w:p w:rsidR="006E2B5E" w:rsidRPr="006E2B5E" w:rsidRDefault="006E2B5E" w:rsidP="006E2B5E">
      <w:pPr>
        <w:pStyle w:val="ConsPlusNonformat"/>
        <w:jc w:val="both"/>
        <w:rPr>
          <w:rFonts w:ascii="Times New Roman" w:hAnsi="Times New Roman" w:cs="Times New Roman"/>
          <w:sz w:val="24"/>
          <w:szCs w:val="24"/>
        </w:rPr>
      </w:pPr>
      <w:r w:rsidRPr="006E2B5E">
        <w:rPr>
          <w:rFonts w:ascii="Times New Roman" w:hAnsi="Times New Roman" w:cs="Times New Roman"/>
          <w:sz w:val="24"/>
          <w:szCs w:val="24"/>
        </w:rPr>
        <w:t>__________________________________________________________________________.</w:t>
      </w:r>
    </w:p>
    <w:p w:rsidR="00D34F75" w:rsidRDefault="00D34F75" w:rsidP="006E2B5E">
      <w:pPr>
        <w:pStyle w:val="ConsPlusNonformat"/>
        <w:jc w:val="both"/>
        <w:rPr>
          <w:rFonts w:ascii="Times New Roman" w:hAnsi="Times New Roman" w:cs="Times New Roman"/>
          <w:sz w:val="24"/>
          <w:szCs w:val="24"/>
          <w:u w:val="single"/>
        </w:rPr>
      </w:pPr>
    </w:p>
    <w:p w:rsidR="0036713D" w:rsidRDefault="006E2B5E" w:rsidP="006E2B5E">
      <w:pPr>
        <w:pStyle w:val="ConsPlusNonformat"/>
        <w:jc w:val="both"/>
        <w:rPr>
          <w:rFonts w:ascii="Times New Roman" w:hAnsi="Times New Roman" w:cs="Times New Roman"/>
          <w:sz w:val="24"/>
          <w:szCs w:val="24"/>
        </w:rPr>
      </w:pPr>
      <w:r w:rsidRPr="00D34F75">
        <w:rPr>
          <w:rFonts w:ascii="Times New Roman" w:hAnsi="Times New Roman" w:cs="Times New Roman"/>
          <w:sz w:val="24"/>
          <w:szCs w:val="24"/>
          <w:u w:val="single"/>
        </w:rPr>
        <w:t>Условия оказания услуги</w:t>
      </w:r>
      <w:r w:rsidRPr="006E2B5E">
        <w:rPr>
          <w:rFonts w:ascii="Times New Roman" w:hAnsi="Times New Roman" w:cs="Times New Roman"/>
          <w:sz w:val="24"/>
          <w:szCs w:val="24"/>
        </w:rPr>
        <w:t xml:space="preserve"> (процесса): </w:t>
      </w:r>
      <w:r w:rsidR="00D34F75">
        <w:rPr>
          <w:rFonts w:ascii="Times New Roman" w:hAnsi="Times New Roman" w:cs="Times New Roman"/>
          <w:sz w:val="24"/>
          <w:szCs w:val="24"/>
        </w:rPr>
        <w:t xml:space="preserve">поступление </w:t>
      </w:r>
      <w:r w:rsidR="0036713D">
        <w:rPr>
          <w:rFonts w:ascii="Times New Roman" w:hAnsi="Times New Roman" w:cs="Times New Roman"/>
          <w:sz w:val="24"/>
          <w:szCs w:val="24"/>
        </w:rPr>
        <w:t xml:space="preserve">уведомления подписанного сторонами соглашения о перераспределении максимальной мощности между принадлежащими им </w:t>
      </w:r>
      <w:proofErr w:type="spellStart"/>
      <w:r w:rsidR="0036713D">
        <w:rPr>
          <w:rFonts w:ascii="Times New Roman" w:hAnsi="Times New Roman" w:cs="Times New Roman"/>
          <w:sz w:val="24"/>
          <w:szCs w:val="24"/>
        </w:rPr>
        <w:t>энергопринимающими</w:t>
      </w:r>
      <w:proofErr w:type="spellEnd"/>
      <w:r w:rsidR="0036713D">
        <w:rPr>
          <w:rFonts w:ascii="Times New Roman" w:hAnsi="Times New Roman" w:cs="Times New Roman"/>
          <w:sz w:val="24"/>
          <w:szCs w:val="24"/>
        </w:rPr>
        <w:t xml:space="preserve"> устройствами.</w:t>
      </w:r>
    </w:p>
    <w:p w:rsidR="0036713D" w:rsidRDefault="0036713D" w:rsidP="006E2B5E">
      <w:pPr>
        <w:pStyle w:val="ConsPlusNonformat"/>
        <w:jc w:val="both"/>
        <w:rPr>
          <w:rFonts w:ascii="Times New Roman" w:hAnsi="Times New Roman" w:cs="Times New Roman"/>
          <w:sz w:val="24"/>
          <w:szCs w:val="24"/>
          <w:u w:val="single"/>
        </w:rPr>
      </w:pPr>
    </w:p>
    <w:p w:rsidR="00D36D12" w:rsidRDefault="006E2B5E" w:rsidP="006E2B5E">
      <w:pPr>
        <w:pStyle w:val="ConsPlusNonformat"/>
        <w:jc w:val="both"/>
        <w:rPr>
          <w:rFonts w:ascii="Times New Roman" w:hAnsi="Times New Roman" w:cs="Times New Roman"/>
          <w:sz w:val="24"/>
          <w:szCs w:val="24"/>
        </w:rPr>
      </w:pPr>
      <w:r w:rsidRPr="00D34F75">
        <w:rPr>
          <w:rFonts w:ascii="Times New Roman" w:hAnsi="Times New Roman" w:cs="Times New Roman"/>
          <w:sz w:val="24"/>
          <w:szCs w:val="24"/>
          <w:u w:val="single"/>
        </w:rPr>
        <w:t>Результат оказания услуги</w:t>
      </w:r>
      <w:r w:rsidRPr="006E2B5E">
        <w:rPr>
          <w:rFonts w:ascii="Times New Roman" w:hAnsi="Times New Roman" w:cs="Times New Roman"/>
          <w:sz w:val="24"/>
          <w:szCs w:val="24"/>
        </w:rPr>
        <w:t xml:space="preserve"> (процесса): </w:t>
      </w:r>
      <w:r w:rsidR="00D36D12" w:rsidRPr="00720E17">
        <w:rPr>
          <w:rFonts w:ascii="Times New Roman" w:hAnsi="Times New Roman" w:cs="Times New Roman"/>
          <w:sz w:val="24"/>
          <w:szCs w:val="24"/>
        </w:rPr>
        <w:t xml:space="preserve">непосредственное фактическое </w:t>
      </w:r>
      <w:r w:rsidR="00F918DC" w:rsidRPr="00720E17">
        <w:rPr>
          <w:rFonts w:ascii="Times New Roman" w:hAnsi="Times New Roman" w:cs="Times New Roman"/>
          <w:sz w:val="24"/>
          <w:szCs w:val="24"/>
        </w:rPr>
        <w:t xml:space="preserve">осуществление технологического присоединения </w:t>
      </w:r>
      <w:r w:rsidR="00D36D12" w:rsidRPr="00720E17">
        <w:rPr>
          <w:rFonts w:ascii="Times New Roman" w:hAnsi="Times New Roman" w:cs="Times New Roman"/>
          <w:sz w:val="24"/>
          <w:szCs w:val="24"/>
        </w:rPr>
        <w:t xml:space="preserve"> к электрическим сетям.</w:t>
      </w:r>
    </w:p>
    <w:p w:rsidR="00D36D12" w:rsidRDefault="00D36D12" w:rsidP="006E2B5E">
      <w:pPr>
        <w:pStyle w:val="ConsPlusNonformat"/>
        <w:jc w:val="both"/>
        <w:rPr>
          <w:rFonts w:ascii="Times New Roman" w:hAnsi="Times New Roman" w:cs="Times New Roman"/>
          <w:sz w:val="24"/>
          <w:szCs w:val="24"/>
        </w:rPr>
      </w:pPr>
    </w:p>
    <w:p w:rsidR="00F46CBA" w:rsidRDefault="006E2B5E" w:rsidP="006E2B5E">
      <w:pPr>
        <w:pStyle w:val="ConsPlusNonformat"/>
        <w:jc w:val="both"/>
        <w:rPr>
          <w:rFonts w:ascii="Times New Roman" w:hAnsi="Times New Roman" w:cs="Times New Roman"/>
          <w:sz w:val="24"/>
          <w:szCs w:val="24"/>
        </w:rPr>
      </w:pPr>
      <w:r w:rsidRPr="006E2B5E">
        <w:rPr>
          <w:rFonts w:ascii="Times New Roman" w:hAnsi="Times New Roman" w:cs="Times New Roman"/>
          <w:sz w:val="24"/>
          <w:szCs w:val="24"/>
        </w:rPr>
        <w:t xml:space="preserve">Общий срок оказания услуги (процесса): </w:t>
      </w:r>
    </w:p>
    <w:p w:rsidR="00F918DC" w:rsidRDefault="00F918DC" w:rsidP="00F918DC">
      <w:pPr>
        <w:pStyle w:val="ConsPlusNormal"/>
        <w:spacing w:before="220"/>
        <w:ind w:firstLine="540"/>
        <w:jc w:val="both"/>
      </w:pPr>
      <w:proofErr w:type="gramStart"/>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w:t>
      </w:r>
      <w:proofErr w:type="gramEnd"/>
      <w:r>
        <w:t xml:space="preserve"> организаций (в том числе смежных сетевых организаций), и (или) объектов по производству электрической энергии.</w:t>
      </w:r>
    </w:p>
    <w:p w:rsidR="00F918DC" w:rsidRDefault="00F918DC" w:rsidP="00F918DC">
      <w:pPr>
        <w:pStyle w:val="ConsPlusNormal"/>
        <w:spacing w:before="220"/>
        <w:ind w:firstLine="540"/>
        <w:jc w:val="both"/>
      </w:pPr>
      <w:proofErr w:type="gramStart"/>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w:t>
      </w:r>
      <w:proofErr w:type="gramEnd"/>
      <w:r>
        <w:t xml:space="preserve"> </w:t>
      </w:r>
      <w:proofErr w:type="gramStart"/>
      <w:r>
        <w:t>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w:t>
      </w:r>
      <w:proofErr w:type="gramEnd"/>
      <w:r>
        <w:t xml:space="preserve"> </w:t>
      </w:r>
      <w:r>
        <w:lastRenderedPageBreak/>
        <w:t>сетевой организации до присоединяемых энергопринимающих устройств потребителя и (или) объектов электроэнергетики, не может превышать:</w:t>
      </w:r>
    </w:p>
    <w:p w:rsidR="00F918DC" w:rsidRDefault="00F918DC" w:rsidP="00F918DC">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F918DC" w:rsidRDefault="00F918DC" w:rsidP="00F918DC">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F918DC" w:rsidRDefault="00F918DC" w:rsidP="00F918DC">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F918DC" w:rsidRDefault="00F918DC" w:rsidP="00F918DC">
      <w:pPr>
        <w:pStyle w:val="ConsPlusNormal"/>
        <w:spacing w:before="220"/>
        <w:ind w:firstLine="540"/>
        <w:jc w:val="both"/>
      </w:pPr>
    </w:p>
    <w:p w:rsidR="006E2B5E" w:rsidRPr="006E2B5E" w:rsidRDefault="006E2B5E" w:rsidP="006E2B5E">
      <w:pPr>
        <w:pStyle w:val="ConsPlusNonformat"/>
        <w:jc w:val="both"/>
        <w:rPr>
          <w:rFonts w:ascii="Times New Roman" w:hAnsi="Times New Roman" w:cs="Times New Roman"/>
          <w:sz w:val="24"/>
          <w:szCs w:val="24"/>
        </w:rPr>
      </w:pPr>
      <w:r w:rsidRPr="006E2B5E">
        <w:rPr>
          <w:rFonts w:ascii="Times New Roman" w:hAnsi="Times New Roman" w:cs="Times New Roman"/>
          <w:sz w:val="24"/>
          <w:szCs w:val="24"/>
        </w:rPr>
        <w:t>Состав, последовательность и сроки оказания услуги (процесса):</w:t>
      </w:r>
    </w:p>
    <w:p w:rsidR="006E2B5E" w:rsidRPr="006E2B5E" w:rsidRDefault="006E2B5E" w:rsidP="006E2B5E">
      <w:pPr>
        <w:pStyle w:val="ConsPlusNormal"/>
        <w:jc w:val="both"/>
        <w:rPr>
          <w:rFonts w:ascii="Times New Roman" w:hAnsi="Times New Roman" w:cs="Times New Roman"/>
          <w:sz w:val="24"/>
          <w:szCs w:val="24"/>
        </w:rPr>
      </w:pPr>
    </w:p>
    <w:tbl>
      <w:tblPr>
        <w:tblW w:w="97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743"/>
        <w:gridCol w:w="2807"/>
        <w:gridCol w:w="1737"/>
        <w:gridCol w:w="1701"/>
        <w:gridCol w:w="2197"/>
      </w:tblGrid>
      <w:tr w:rsidR="006E2B5E" w:rsidRPr="006E2B5E" w:rsidTr="009972FF">
        <w:tc>
          <w:tcPr>
            <w:tcW w:w="525" w:type="dxa"/>
          </w:tcPr>
          <w:p w:rsidR="006E2B5E" w:rsidRPr="006E2B5E" w:rsidRDefault="006E2B5E" w:rsidP="00882864">
            <w:pPr>
              <w:pStyle w:val="ConsPlusNormal"/>
              <w:jc w:val="center"/>
              <w:rPr>
                <w:rFonts w:ascii="Times New Roman" w:hAnsi="Times New Roman" w:cs="Times New Roman"/>
                <w:sz w:val="24"/>
                <w:szCs w:val="24"/>
              </w:rPr>
            </w:pPr>
            <w:r w:rsidRPr="006E2B5E">
              <w:rPr>
                <w:rFonts w:ascii="Times New Roman" w:hAnsi="Times New Roman" w:cs="Times New Roman"/>
                <w:sz w:val="24"/>
                <w:szCs w:val="24"/>
              </w:rPr>
              <w:t xml:space="preserve">N </w:t>
            </w:r>
            <w:proofErr w:type="gramStart"/>
            <w:r w:rsidRPr="006E2B5E">
              <w:rPr>
                <w:rFonts w:ascii="Times New Roman" w:hAnsi="Times New Roman" w:cs="Times New Roman"/>
                <w:sz w:val="24"/>
                <w:szCs w:val="24"/>
              </w:rPr>
              <w:t>п</w:t>
            </w:r>
            <w:proofErr w:type="gramEnd"/>
            <w:r w:rsidRPr="006E2B5E">
              <w:rPr>
                <w:rFonts w:ascii="Times New Roman" w:hAnsi="Times New Roman" w:cs="Times New Roman"/>
                <w:sz w:val="24"/>
                <w:szCs w:val="24"/>
              </w:rPr>
              <w:t>/п</w:t>
            </w:r>
          </w:p>
        </w:tc>
        <w:tc>
          <w:tcPr>
            <w:tcW w:w="743" w:type="dxa"/>
          </w:tcPr>
          <w:p w:rsidR="006E2B5E" w:rsidRPr="006E2B5E" w:rsidRDefault="006E2B5E" w:rsidP="00882864">
            <w:pPr>
              <w:pStyle w:val="ConsPlusNormal"/>
              <w:jc w:val="center"/>
              <w:rPr>
                <w:rFonts w:ascii="Times New Roman" w:hAnsi="Times New Roman" w:cs="Times New Roman"/>
                <w:sz w:val="24"/>
                <w:szCs w:val="24"/>
              </w:rPr>
            </w:pPr>
            <w:r w:rsidRPr="006E2B5E">
              <w:rPr>
                <w:rFonts w:ascii="Times New Roman" w:hAnsi="Times New Roman" w:cs="Times New Roman"/>
                <w:sz w:val="24"/>
                <w:szCs w:val="24"/>
              </w:rPr>
              <w:t>Этап</w:t>
            </w:r>
          </w:p>
        </w:tc>
        <w:tc>
          <w:tcPr>
            <w:tcW w:w="2807" w:type="dxa"/>
          </w:tcPr>
          <w:p w:rsidR="006E2B5E" w:rsidRPr="006E2B5E" w:rsidRDefault="006E2B5E" w:rsidP="00882864">
            <w:pPr>
              <w:pStyle w:val="ConsPlusNormal"/>
              <w:jc w:val="center"/>
              <w:rPr>
                <w:rFonts w:ascii="Times New Roman" w:hAnsi="Times New Roman" w:cs="Times New Roman"/>
                <w:sz w:val="24"/>
                <w:szCs w:val="24"/>
              </w:rPr>
            </w:pPr>
            <w:r w:rsidRPr="006E2B5E">
              <w:rPr>
                <w:rFonts w:ascii="Times New Roman" w:hAnsi="Times New Roman" w:cs="Times New Roman"/>
                <w:sz w:val="24"/>
                <w:szCs w:val="24"/>
              </w:rPr>
              <w:t>Содержание/условия этапа</w:t>
            </w:r>
          </w:p>
        </w:tc>
        <w:tc>
          <w:tcPr>
            <w:tcW w:w="1737" w:type="dxa"/>
          </w:tcPr>
          <w:p w:rsidR="006E2B5E" w:rsidRPr="006E2B5E" w:rsidRDefault="006E2B5E" w:rsidP="00882864">
            <w:pPr>
              <w:pStyle w:val="ConsPlusNormal"/>
              <w:jc w:val="center"/>
              <w:rPr>
                <w:rFonts w:ascii="Times New Roman" w:hAnsi="Times New Roman" w:cs="Times New Roman"/>
                <w:sz w:val="24"/>
                <w:szCs w:val="24"/>
              </w:rPr>
            </w:pPr>
            <w:r w:rsidRPr="006E2B5E">
              <w:rPr>
                <w:rFonts w:ascii="Times New Roman" w:hAnsi="Times New Roman" w:cs="Times New Roman"/>
                <w:sz w:val="24"/>
                <w:szCs w:val="24"/>
              </w:rPr>
              <w:t>Форма предоставления</w:t>
            </w:r>
          </w:p>
        </w:tc>
        <w:tc>
          <w:tcPr>
            <w:tcW w:w="1701" w:type="dxa"/>
          </w:tcPr>
          <w:p w:rsidR="006E2B5E" w:rsidRPr="006E2B5E" w:rsidRDefault="006E2B5E" w:rsidP="00882864">
            <w:pPr>
              <w:pStyle w:val="ConsPlusNormal"/>
              <w:jc w:val="center"/>
              <w:rPr>
                <w:rFonts w:ascii="Times New Roman" w:hAnsi="Times New Roman" w:cs="Times New Roman"/>
                <w:sz w:val="24"/>
                <w:szCs w:val="24"/>
              </w:rPr>
            </w:pPr>
            <w:r w:rsidRPr="006E2B5E">
              <w:rPr>
                <w:rFonts w:ascii="Times New Roman" w:hAnsi="Times New Roman" w:cs="Times New Roman"/>
                <w:sz w:val="24"/>
                <w:szCs w:val="24"/>
              </w:rPr>
              <w:t>Срок исполнения</w:t>
            </w:r>
          </w:p>
        </w:tc>
        <w:tc>
          <w:tcPr>
            <w:tcW w:w="2197" w:type="dxa"/>
          </w:tcPr>
          <w:p w:rsidR="006E2B5E" w:rsidRPr="006E2B5E" w:rsidRDefault="006E2B5E" w:rsidP="00882864">
            <w:pPr>
              <w:pStyle w:val="ConsPlusNormal"/>
              <w:jc w:val="center"/>
              <w:rPr>
                <w:rFonts w:ascii="Times New Roman" w:hAnsi="Times New Roman" w:cs="Times New Roman"/>
                <w:sz w:val="24"/>
                <w:szCs w:val="24"/>
              </w:rPr>
            </w:pPr>
            <w:r w:rsidRPr="006E2B5E">
              <w:rPr>
                <w:rFonts w:ascii="Times New Roman" w:hAnsi="Times New Roman" w:cs="Times New Roman"/>
                <w:sz w:val="24"/>
                <w:szCs w:val="24"/>
              </w:rPr>
              <w:t>Ссылка на нормативный правовой акт</w:t>
            </w:r>
          </w:p>
        </w:tc>
      </w:tr>
      <w:tr w:rsidR="006E2B5E" w:rsidRPr="006E2B5E" w:rsidTr="009972FF">
        <w:tc>
          <w:tcPr>
            <w:tcW w:w="525" w:type="dxa"/>
          </w:tcPr>
          <w:p w:rsidR="006E2B5E" w:rsidRPr="006E2B5E" w:rsidRDefault="006E2B5E" w:rsidP="00882864">
            <w:pPr>
              <w:pStyle w:val="ConsPlusNormal"/>
              <w:jc w:val="center"/>
              <w:rPr>
                <w:rFonts w:ascii="Times New Roman" w:hAnsi="Times New Roman" w:cs="Times New Roman"/>
                <w:sz w:val="24"/>
                <w:szCs w:val="24"/>
              </w:rPr>
            </w:pPr>
            <w:r w:rsidRPr="006E2B5E">
              <w:rPr>
                <w:rFonts w:ascii="Times New Roman" w:hAnsi="Times New Roman" w:cs="Times New Roman"/>
                <w:sz w:val="24"/>
                <w:szCs w:val="24"/>
              </w:rPr>
              <w:t>1</w:t>
            </w:r>
          </w:p>
        </w:tc>
        <w:tc>
          <w:tcPr>
            <w:tcW w:w="743" w:type="dxa"/>
          </w:tcPr>
          <w:p w:rsidR="006E2B5E" w:rsidRPr="006E2B5E" w:rsidRDefault="00F46CBA"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807" w:type="dxa"/>
          </w:tcPr>
          <w:p w:rsidR="0036713D" w:rsidRDefault="0036713D" w:rsidP="0036713D">
            <w:pPr>
              <w:pStyle w:val="ConsPlusNonformat"/>
              <w:jc w:val="both"/>
              <w:rPr>
                <w:rFonts w:ascii="Times New Roman" w:hAnsi="Times New Roman" w:cs="Times New Roman"/>
                <w:sz w:val="24"/>
                <w:szCs w:val="24"/>
              </w:rPr>
            </w:pPr>
            <w:r>
              <w:t xml:space="preserve">Получение уведомления </w:t>
            </w:r>
            <w:r>
              <w:rPr>
                <w:rFonts w:ascii="Times New Roman" w:hAnsi="Times New Roman" w:cs="Times New Roman"/>
                <w:sz w:val="24"/>
                <w:szCs w:val="24"/>
              </w:rPr>
              <w:t xml:space="preserve">подписанного сторонами соглашения о перераспределении максимальной мощности между принадлежащими им </w:t>
            </w:r>
            <w:proofErr w:type="spellStart"/>
            <w:r>
              <w:rPr>
                <w:rFonts w:ascii="Times New Roman" w:hAnsi="Times New Roman" w:cs="Times New Roman"/>
                <w:sz w:val="24"/>
                <w:szCs w:val="24"/>
              </w:rPr>
              <w:t>энергопринимающими</w:t>
            </w:r>
            <w:proofErr w:type="spellEnd"/>
            <w:r>
              <w:rPr>
                <w:rFonts w:ascii="Times New Roman" w:hAnsi="Times New Roman" w:cs="Times New Roman"/>
                <w:sz w:val="24"/>
                <w:szCs w:val="24"/>
              </w:rPr>
              <w:t xml:space="preserve"> устройствами с приложением необходимых документов и направления в требуемых случаях субъекту оперативно-диспетчерского управления (Балтийское РДУ).</w:t>
            </w:r>
          </w:p>
          <w:p w:rsidR="00F46CBA" w:rsidRDefault="00F46CBA" w:rsidP="00F46CBA">
            <w:pPr>
              <w:pStyle w:val="ConsPlusNormal"/>
              <w:spacing w:before="220"/>
              <w:jc w:val="both"/>
            </w:pPr>
          </w:p>
          <w:p w:rsidR="006E2B5E" w:rsidRPr="006E2B5E" w:rsidRDefault="006E2B5E" w:rsidP="00882864">
            <w:pPr>
              <w:pStyle w:val="ConsPlusNormal"/>
              <w:jc w:val="center"/>
              <w:rPr>
                <w:rFonts w:ascii="Times New Roman" w:hAnsi="Times New Roman" w:cs="Times New Roman"/>
                <w:sz w:val="24"/>
                <w:szCs w:val="24"/>
              </w:rPr>
            </w:pPr>
          </w:p>
        </w:tc>
        <w:tc>
          <w:tcPr>
            <w:tcW w:w="1737" w:type="dxa"/>
          </w:tcPr>
          <w:p w:rsidR="006E2B5E" w:rsidRPr="006E2B5E" w:rsidRDefault="00F46CBA"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Непосредственное рассмотрение</w:t>
            </w:r>
            <w:r w:rsidR="0036713D">
              <w:rPr>
                <w:rFonts w:ascii="Times New Roman" w:hAnsi="Times New Roman" w:cs="Times New Roman"/>
                <w:sz w:val="24"/>
                <w:szCs w:val="24"/>
              </w:rPr>
              <w:t xml:space="preserve"> и направление</w:t>
            </w:r>
          </w:p>
        </w:tc>
        <w:tc>
          <w:tcPr>
            <w:tcW w:w="1701" w:type="dxa"/>
          </w:tcPr>
          <w:p w:rsidR="006E2B5E" w:rsidRPr="006E2B5E" w:rsidRDefault="0036713D"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5</w:t>
            </w:r>
            <w:r w:rsidR="00F46CBA">
              <w:rPr>
                <w:rFonts w:ascii="Times New Roman" w:hAnsi="Times New Roman" w:cs="Times New Roman"/>
                <w:sz w:val="24"/>
                <w:szCs w:val="24"/>
              </w:rPr>
              <w:t xml:space="preserve"> рабочих дней</w:t>
            </w:r>
          </w:p>
        </w:tc>
        <w:tc>
          <w:tcPr>
            <w:tcW w:w="2197" w:type="dxa"/>
          </w:tcPr>
          <w:p w:rsidR="006E2B5E" w:rsidRDefault="00F46CBA" w:rsidP="00882864">
            <w:pPr>
              <w:pStyle w:val="ConsPlusNormal"/>
              <w:jc w:val="center"/>
              <w:rPr>
                <w:rFonts w:ascii="Times New Roman" w:hAnsi="Times New Roman" w:cs="Times New Roman"/>
                <w:sz w:val="24"/>
                <w:szCs w:val="24"/>
              </w:rPr>
            </w:pPr>
            <w:r w:rsidRPr="00F46CBA">
              <w:rPr>
                <w:rFonts w:ascii="Times New Roman" w:hAnsi="Times New Roman" w:cs="Times New Roman"/>
                <w:sz w:val="24"/>
                <w:szCs w:val="24"/>
              </w:rPr>
              <w:t>П.</w:t>
            </w:r>
            <w:r w:rsidR="0036713D">
              <w:rPr>
                <w:rFonts w:ascii="Times New Roman" w:hAnsi="Times New Roman" w:cs="Times New Roman"/>
                <w:sz w:val="24"/>
                <w:szCs w:val="24"/>
              </w:rPr>
              <w:t>34</w:t>
            </w:r>
            <w:r w:rsidRPr="00F46CBA">
              <w:rPr>
                <w:rFonts w:ascii="Times New Roman" w:hAnsi="Times New Roman" w:cs="Times New Roman"/>
                <w:sz w:val="24"/>
                <w:szCs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Российской Федерации от 27.12.2004г. №861</w:t>
            </w:r>
          </w:p>
          <w:p w:rsidR="006B10A9" w:rsidRPr="00F46CBA" w:rsidRDefault="006B10A9"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(далее Правила)</w:t>
            </w:r>
          </w:p>
        </w:tc>
      </w:tr>
      <w:tr w:rsidR="006E2B5E" w:rsidRPr="006E2B5E" w:rsidTr="009972FF">
        <w:tc>
          <w:tcPr>
            <w:tcW w:w="525" w:type="dxa"/>
          </w:tcPr>
          <w:p w:rsidR="006E2B5E" w:rsidRPr="006E2B5E" w:rsidRDefault="006E2B5E" w:rsidP="00882864">
            <w:pPr>
              <w:pStyle w:val="ConsPlusNormal"/>
              <w:jc w:val="center"/>
              <w:rPr>
                <w:rFonts w:ascii="Times New Roman" w:hAnsi="Times New Roman" w:cs="Times New Roman"/>
                <w:sz w:val="24"/>
                <w:szCs w:val="24"/>
              </w:rPr>
            </w:pPr>
            <w:r w:rsidRPr="006E2B5E">
              <w:rPr>
                <w:rFonts w:ascii="Times New Roman" w:hAnsi="Times New Roman" w:cs="Times New Roman"/>
                <w:sz w:val="24"/>
                <w:szCs w:val="24"/>
              </w:rPr>
              <w:t>2</w:t>
            </w:r>
          </w:p>
        </w:tc>
        <w:tc>
          <w:tcPr>
            <w:tcW w:w="743" w:type="dxa"/>
          </w:tcPr>
          <w:p w:rsidR="006E2B5E" w:rsidRPr="006E2B5E" w:rsidRDefault="00F46CBA"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807" w:type="dxa"/>
          </w:tcPr>
          <w:p w:rsidR="00BF6793" w:rsidRDefault="004F7042" w:rsidP="00BF6793">
            <w:pPr>
              <w:pStyle w:val="ConsPlusNormal"/>
              <w:jc w:val="center"/>
            </w:pPr>
            <w:r>
              <w:t xml:space="preserve">Сетевая организация </w:t>
            </w:r>
            <w:r w:rsidR="00BF6793">
              <w:t xml:space="preserve">направляет лицу, максимальная мощность энергопринимающих </w:t>
            </w:r>
            <w:r w:rsidR="00BF6793">
              <w:lastRenderedPageBreak/>
              <w:t>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w:t>
            </w:r>
          </w:p>
          <w:p w:rsidR="004F7042" w:rsidRPr="006E2B5E" w:rsidRDefault="004F7042" w:rsidP="00F46CBA">
            <w:pPr>
              <w:pStyle w:val="ConsPlusNormal"/>
              <w:spacing w:before="220"/>
              <w:rPr>
                <w:rFonts w:ascii="Times New Roman" w:hAnsi="Times New Roman" w:cs="Times New Roman"/>
                <w:sz w:val="24"/>
                <w:szCs w:val="24"/>
              </w:rPr>
            </w:pPr>
          </w:p>
        </w:tc>
        <w:tc>
          <w:tcPr>
            <w:tcW w:w="1737" w:type="dxa"/>
          </w:tcPr>
          <w:p w:rsidR="006E2B5E" w:rsidRPr="006E2B5E" w:rsidRDefault="00BF6793"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Направление сведений</w:t>
            </w:r>
          </w:p>
        </w:tc>
        <w:tc>
          <w:tcPr>
            <w:tcW w:w="1701" w:type="dxa"/>
          </w:tcPr>
          <w:p w:rsidR="004F7042" w:rsidRPr="006E2B5E" w:rsidRDefault="00BF6793" w:rsidP="00BF6793">
            <w:pPr>
              <w:pStyle w:val="ConsPlusNormal"/>
              <w:jc w:val="center"/>
              <w:rPr>
                <w:rFonts w:ascii="Times New Roman" w:hAnsi="Times New Roman" w:cs="Times New Roman"/>
                <w:sz w:val="24"/>
                <w:szCs w:val="24"/>
              </w:rPr>
            </w:pPr>
            <w:r>
              <w:t xml:space="preserve">Не позднее 10 рабочих дней со дня выдачи технических </w:t>
            </w:r>
            <w:r>
              <w:lastRenderedPageBreak/>
              <w:t>условий лицу, в пользу которого перераспределяется максимальная мощность по соглашению о перераспределении мощности</w:t>
            </w:r>
          </w:p>
        </w:tc>
        <w:tc>
          <w:tcPr>
            <w:tcW w:w="2197" w:type="dxa"/>
          </w:tcPr>
          <w:p w:rsidR="00F46CBA" w:rsidRPr="00F46CBA" w:rsidRDefault="00BF6793" w:rsidP="004F704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П.38 Правил</w:t>
            </w:r>
          </w:p>
        </w:tc>
      </w:tr>
      <w:tr w:rsidR="004F7042" w:rsidRPr="006E2B5E" w:rsidTr="009972FF">
        <w:tc>
          <w:tcPr>
            <w:tcW w:w="525" w:type="dxa"/>
          </w:tcPr>
          <w:p w:rsidR="004F7042" w:rsidRPr="006E2B5E" w:rsidRDefault="004F7042"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43" w:type="dxa"/>
          </w:tcPr>
          <w:p w:rsidR="004F7042" w:rsidRDefault="004F7042"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807" w:type="dxa"/>
          </w:tcPr>
          <w:p w:rsidR="004F7042" w:rsidRDefault="004F7042" w:rsidP="00BF6793">
            <w:pPr>
              <w:pStyle w:val="ConsPlusNormal"/>
              <w:spacing w:before="220"/>
            </w:pPr>
            <w:r>
              <w:t>Выполнение сторонами мероприятий по технологическому присоединению, предусмотренных договором;</w:t>
            </w:r>
          </w:p>
        </w:tc>
        <w:tc>
          <w:tcPr>
            <w:tcW w:w="1737" w:type="dxa"/>
          </w:tcPr>
          <w:p w:rsidR="004F7042" w:rsidRPr="006E2B5E" w:rsidRDefault="004F7042" w:rsidP="00BF6793">
            <w:pPr>
              <w:pStyle w:val="ConsPlusNormal"/>
              <w:jc w:val="center"/>
              <w:rPr>
                <w:rFonts w:ascii="Times New Roman" w:hAnsi="Times New Roman" w:cs="Times New Roman"/>
                <w:sz w:val="24"/>
                <w:szCs w:val="24"/>
              </w:rPr>
            </w:pPr>
            <w:r>
              <w:rPr>
                <w:rFonts w:ascii="Times New Roman" w:hAnsi="Times New Roman" w:cs="Times New Roman"/>
                <w:sz w:val="24"/>
                <w:szCs w:val="24"/>
              </w:rPr>
              <w:t>Фактическое выполнение работ</w:t>
            </w:r>
          </w:p>
        </w:tc>
        <w:tc>
          <w:tcPr>
            <w:tcW w:w="1701" w:type="dxa"/>
          </w:tcPr>
          <w:p w:rsidR="004F7042" w:rsidRDefault="004F7042" w:rsidP="00BF6793">
            <w:pPr>
              <w:pStyle w:val="ConsPlusNormal"/>
              <w:jc w:val="center"/>
            </w:pPr>
            <w:r>
              <w:t xml:space="preserve">В зависимости от объема </w:t>
            </w:r>
            <w:r w:rsidR="00BF6793">
              <w:t>электро</w:t>
            </w:r>
            <w:r>
              <w:t>монтажных работ</w:t>
            </w:r>
          </w:p>
        </w:tc>
        <w:tc>
          <w:tcPr>
            <w:tcW w:w="2197" w:type="dxa"/>
          </w:tcPr>
          <w:p w:rsidR="004F7042" w:rsidRDefault="006B10A9" w:rsidP="00882864">
            <w:pPr>
              <w:pStyle w:val="ConsPlusNormal"/>
              <w:jc w:val="center"/>
            </w:pPr>
            <w:r>
              <w:t>П. 7в Правил</w:t>
            </w:r>
          </w:p>
        </w:tc>
      </w:tr>
      <w:tr w:rsidR="004F7042" w:rsidRPr="006E2B5E" w:rsidTr="009972FF">
        <w:tc>
          <w:tcPr>
            <w:tcW w:w="525" w:type="dxa"/>
          </w:tcPr>
          <w:p w:rsidR="004F7042" w:rsidRDefault="004F7042"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43" w:type="dxa"/>
          </w:tcPr>
          <w:p w:rsidR="004F7042" w:rsidRDefault="004F7042"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807" w:type="dxa"/>
          </w:tcPr>
          <w:p w:rsidR="004F7042" w:rsidRDefault="006B10A9" w:rsidP="00F46CBA">
            <w:pPr>
              <w:pStyle w:val="ConsPlusNormal"/>
              <w:spacing w:before="220"/>
            </w:pPr>
            <w:r>
              <w:t>Получение разрешения органа федерального государственного энергетического надзора на допуск в эксплуатацию объектов заявителя.</w:t>
            </w:r>
          </w:p>
        </w:tc>
        <w:tc>
          <w:tcPr>
            <w:tcW w:w="1737" w:type="dxa"/>
          </w:tcPr>
          <w:p w:rsidR="004F7042" w:rsidRDefault="006B10A9"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w:t>
            </w:r>
          </w:p>
        </w:tc>
        <w:tc>
          <w:tcPr>
            <w:tcW w:w="1701" w:type="dxa"/>
          </w:tcPr>
          <w:p w:rsidR="004F7042" w:rsidRDefault="004F7042" w:rsidP="00882864">
            <w:pPr>
              <w:pStyle w:val="ConsPlusNormal"/>
              <w:jc w:val="center"/>
            </w:pPr>
          </w:p>
        </w:tc>
        <w:tc>
          <w:tcPr>
            <w:tcW w:w="2197" w:type="dxa"/>
          </w:tcPr>
          <w:p w:rsidR="004F7042" w:rsidRPr="006B10A9" w:rsidRDefault="006B10A9"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За исключением заявителей, указанных в </w:t>
            </w:r>
            <w:hyperlink w:anchor="P877" w:history="1">
              <w:r w:rsidRPr="006B10A9">
                <w:rPr>
                  <w:rFonts w:ascii="Times New Roman" w:hAnsi="Times New Roman" w:cs="Times New Roman"/>
                  <w:sz w:val="24"/>
                  <w:szCs w:val="24"/>
                </w:rPr>
                <w:t>п.12, 12(1)</w:t>
              </w:r>
            </w:hyperlink>
            <w:r w:rsidRPr="006B10A9">
              <w:rPr>
                <w:rFonts w:ascii="Times New Roman" w:hAnsi="Times New Roman" w:cs="Times New Roman"/>
                <w:sz w:val="24"/>
                <w:szCs w:val="24"/>
              </w:rPr>
              <w:t xml:space="preserve">, </w:t>
            </w:r>
            <w:hyperlink w:anchor="P889" w:history="1">
              <w:r w:rsidRPr="006B10A9">
                <w:rPr>
                  <w:rFonts w:ascii="Times New Roman" w:hAnsi="Times New Roman" w:cs="Times New Roman"/>
                  <w:sz w:val="24"/>
                  <w:szCs w:val="24"/>
                </w:rPr>
                <w:t>13</w:t>
              </w:r>
            </w:hyperlink>
            <w:r w:rsidRPr="006B10A9">
              <w:rPr>
                <w:rFonts w:ascii="Times New Roman" w:hAnsi="Times New Roman" w:cs="Times New Roman"/>
                <w:sz w:val="24"/>
                <w:szCs w:val="24"/>
              </w:rPr>
              <w:t xml:space="preserve"> и </w:t>
            </w:r>
            <w:hyperlink w:anchor="P899" w:history="1">
              <w:r w:rsidRPr="006B10A9">
                <w:rPr>
                  <w:rFonts w:ascii="Times New Roman" w:hAnsi="Times New Roman" w:cs="Times New Roman"/>
                  <w:sz w:val="24"/>
                  <w:szCs w:val="24"/>
                </w:rPr>
                <w:t>14</w:t>
              </w:r>
            </w:hyperlink>
            <w:r w:rsidRPr="006B10A9">
              <w:rPr>
                <w:rFonts w:ascii="Times New Roman" w:hAnsi="Times New Roman" w:cs="Times New Roman"/>
                <w:sz w:val="24"/>
                <w:szCs w:val="24"/>
              </w:rPr>
              <w:t xml:space="preserve"> Правил</w:t>
            </w:r>
          </w:p>
        </w:tc>
      </w:tr>
      <w:tr w:rsidR="006B10A9" w:rsidRPr="006E2B5E" w:rsidTr="009972FF">
        <w:tc>
          <w:tcPr>
            <w:tcW w:w="525" w:type="dxa"/>
          </w:tcPr>
          <w:p w:rsidR="006B10A9" w:rsidRDefault="006B10A9" w:rsidP="00882864">
            <w:pPr>
              <w:pStyle w:val="ConsPlusNormal"/>
              <w:jc w:val="center"/>
              <w:rPr>
                <w:rFonts w:ascii="Times New Roman" w:hAnsi="Times New Roman" w:cs="Times New Roman"/>
                <w:sz w:val="24"/>
                <w:szCs w:val="24"/>
              </w:rPr>
            </w:pPr>
          </w:p>
        </w:tc>
        <w:tc>
          <w:tcPr>
            <w:tcW w:w="743" w:type="dxa"/>
          </w:tcPr>
          <w:p w:rsidR="006B10A9" w:rsidRDefault="006B10A9" w:rsidP="00882864">
            <w:pPr>
              <w:pStyle w:val="ConsPlusNormal"/>
              <w:jc w:val="center"/>
              <w:rPr>
                <w:rFonts w:ascii="Times New Roman" w:hAnsi="Times New Roman" w:cs="Times New Roman"/>
                <w:sz w:val="24"/>
                <w:szCs w:val="24"/>
              </w:rPr>
            </w:pPr>
          </w:p>
        </w:tc>
        <w:tc>
          <w:tcPr>
            <w:tcW w:w="2807" w:type="dxa"/>
          </w:tcPr>
          <w:p w:rsidR="006B10A9" w:rsidRDefault="006B10A9" w:rsidP="00F46CBA">
            <w:pPr>
              <w:pStyle w:val="ConsPlusNormal"/>
              <w:spacing w:before="220"/>
            </w:pPr>
            <w:r>
              <w:t>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w:t>
            </w:r>
          </w:p>
        </w:tc>
        <w:tc>
          <w:tcPr>
            <w:tcW w:w="1737" w:type="dxa"/>
          </w:tcPr>
          <w:p w:rsidR="006B10A9" w:rsidRDefault="006B10A9" w:rsidP="006B10A9">
            <w:pPr>
              <w:pStyle w:val="ConsPlusNormal"/>
              <w:spacing w:before="220"/>
              <w:ind w:firstLine="540"/>
              <w:jc w:val="both"/>
            </w:pPr>
            <w:r>
              <w:t xml:space="preserve">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энергопринимающих устройств заявителя </w:t>
            </w:r>
          </w:p>
          <w:p w:rsidR="006B10A9" w:rsidRDefault="006B10A9" w:rsidP="00882864">
            <w:pPr>
              <w:pStyle w:val="ConsPlusNormal"/>
              <w:jc w:val="center"/>
              <w:rPr>
                <w:rFonts w:ascii="Times New Roman" w:hAnsi="Times New Roman" w:cs="Times New Roman"/>
                <w:sz w:val="24"/>
                <w:szCs w:val="24"/>
              </w:rPr>
            </w:pPr>
          </w:p>
        </w:tc>
        <w:tc>
          <w:tcPr>
            <w:tcW w:w="1701" w:type="dxa"/>
          </w:tcPr>
          <w:p w:rsidR="006B10A9" w:rsidRDefault="006B10A9" w:rsidP="00882864">
            <w:pPr>
              <w:pStyle w:val="ConsPlusNormal"/>
              <w:jc w:val="center"/>
            </w:pPr>
          </w:p>
        </w:tc>
        <w:tc>
          <w:tcPr>
            <w:tcW w:w="2197" w:type="dxa"/>
          </w:tcPr>
          <w:p w:rsidR="006B10A9" w:rsidRDefault="006B10A9"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t>П.7д Правил</w:t>
            </w:r>
          </w:p>
          <w:p w:rsidR="009972FF" w:rsidRPr="006B10A9" w:rsidRDefault="009972FF" w:rsidP="00882864">
            <w:pPr>
              <w:pStyle w:val="ConsPlusNormal"/>
              <w:jc w:val="center"/>
              <w:rPr>
                <w:rFonts w:ascii="Times New Roman" w:hAnsi="Times New Roman" w:cs="Times New Roman"/>
                <w:sz w:val="24"/>
                <w:szCs w:val="24"/>
              </w:rPr>
            </w:pPr>
          </w:p>
        </w:tc>
      </w:tr>
      <w:tr w:rsidR="006B10A9" w:rsidRPr="006E2B5E" w:rsidTr="009972FF">
        <w:tc>
          <w:tcPr>
            <w:tcW w:w="525" w:type="dxa"/>
          </w:tcPr>
          <w:p w:rsidR="006B10A9" w:rsidRDefault="006B10A9" w:rsidP="00882864">
            <w:pPr>
              <w:pStyle w:val="ConsPlusNormal"/>
              <w:jc w:val="center"/>
              <w:rPr>
                <w:rFonts w:ascii="Times New Roman" w:hAnsi="Times New Roman" w:cs="Times New Roman"/>
                <w:sz w:val="24"/>
                <w:szCs w:val="24"/>
              </w:rPr>
            </w:pPr>
          </w:p>
        </w:tc>
        <w:tc>
          <w:tcPr>
            <w:tcW w:w="743" w:type="dxa"/>
          </w:tcPr>
          <w:p w:rsidR="006B10A9" w:rsidRDefault="006B10A9" w:rsidP="00882864">
            <w:pPr>
              <w:pStyle w:val="ConsPlusNormal"/>
              <w:jc w:val="center"/>
              <w:rPr>
                <w:rFonts w:ascii="Times New Roman" w:hAnsi="Times New Roman" w:cs="Times New Roman"/>
                <w:sz w:val="24"/>
                <w:szCs w:val="24"/>
              </w:rPr>
            </w:pPr>
          </w:p>
        </w:tc>
        <w:tc>
          <w:tcPr>
            <w:tcW w:w="2807" w:type="dxa"/>
          </w:tcPr>
          <w:p w:rsidR="006B10A9" w:rsidRDefault="006B10A9" w:rsidP="006B10A9">
            <w:pPr>
              <w:pStyle w:val="ConsPlusNormal"/>
              <w:spacing w:before="220"/>
              <w:ind w:firstLine="540"/>
              <w:jc w:val="both"/>
            </w:pPr>
            <w:r>
              <w:t xml:space="preserve">Составление акта об осуществлении технологического присоединения, а также акта согласования </w:t>
            </w:r>
            <w:r>
              <w:lastRenderedPageBreak/>
              <w:t xml:space="preserve">технологической и (или) аварийной брони (для заявителей, указанных в </w:t>
            </w:r>
            <w:hyperlink w:anchor="P917" w:history="1">
              <w:r>
                <w:rPr>
                  <w:color w:val="0000FF"/>
                </w:rPr>
                <w:t>пункте 14(2)</w:t>
              </w:r>
            </w:hyperlink>
            <w:r>
              <w:t xml:space="preserve"> Правил).</w:t>
            </w:r>
          </w:p>
          <w:p w:rsidR="006B10A9" w:rsidRDefault="006B10A9" w:rsidP="00F46CBA">
            <w:pPr>
              <w:pStyle w:val="ConsPlusNormal"/>
              <w:spacing w:before="220"/>
            </w:pPr>
          </w:p>
        </w:tc>
        <w:tc>
          <w:tcPr>
            <w:tcW w:w="1737" w:type="dxa"/>
          </w:tcPr>
          <w:p w:rsidR="006B10A9" w:rsidRDefault="006B10A9" w:rsidP="00882864">
            <w:pPr>
              <w:pStyle w:val="ConsPlusNormal"/>
              <w:jc w:val="center"/>
              <w:rPr>
                <w:rFonts w:ascii="Times New Roman" w:hAnsi="Times New Roman" w:cs="Times New Roman"/>
                <w:sz w:val="24"/>
                <w:szCs w:val="24"/>
              </w:rPr>
            </w:pPr>
          </w:p>
        </w:tc>
        <w:tc>
          <w:tcPr>
            <w:tcW w:w="1701" w:type="dxa"/>
          </w:tcPr>
          <w:p w:rsidR="00BF6793" w:rsidRDefault="00BF6793" w:rsidP="00BF6793">
            <w:pPr>
              <w:pStyle w:val="ConsPlusNormal"/>
              <w:spacing w:before="220"/>
              <w:jc w:val="both"/>
            </w:pPr>
            <w:r>
              <w:t xml:space="preserve">В срок, не превышающий 3 дней со дня оформления таких </w:t>
            </w:r>
            <w:r>
              <w:lastRenderedPageBreak/>
              <w:t>документов.</w:t>
            </w:r>
          </w:p>
          <w:p w:rsidR="006B10A9" w:rsidRDefault="006B10A9" w:rsidP="00882864">
            <w:pPr>
              <w:pStyle w:val="ConsPlusNormal"/>
              <w:jc w:val="center"/>
            </w:pPr>
          </w:p>
        </w:tc>
        <w:tc>
          <w:tcPr>
            <w:tcW w:w="2197" w:type="dxa"/>
          </w:tcPr>
          <w:p w:rsidR="006B10A9" w:rsidRDefault="00BF6793" w:rsidP="008828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38(3)</w:t>
            </w:r>
            <w:r w:rsidR="00555413">
              <w:rPr>
                <w:rFonts w:ascii="Times New Roman" w:hAnsi="Times New Roman" w:cs="Times New Roman"/>
                <w:sz w:val="24"/>
                <w:szCs w:val="24"/>
              </w:rPr>
              <w:t>Правил</w:t>
            </w:r>
          </w:p>
          <w:p w:rsidR="009972FF" w:rsidRPr="006B10A9" w:rsidRDefault="009972FF" w:rsidP="00882864">
            <w:pPr>
              <w:pStyle w:val="ConsPlusNormal"/>
              <w:jc w:val="center"/>
              <w:rPr>
                <w:rFonts w:ascii="Times New Roman" w:hAnsi="Times New Roman" w:cs="Times New Roman"/>
                <w:sz w:val="24"/>
                <w:szCs w:val="24"/>
              </w:rPr>
            </w:pPr>
          </w:p>
        </w:tc>
      </w:tr>
    </w:tbl>
    <w:p w:rsidR="006E2B5E" w:rsidRPr="006E2B5E" w:rsidRDefault="006E2B5E" w:rsidP="006E2B5E">
      <w:pPr>
        <w:pStyle w:val="ConsPlusNormal"/>
        <w:jc w:val="both"/>
        <w:rPr>
          <w:rFonts w:ascii="Times New Roman" w:hAnsi="Times New Roman" w:cs="Times New Roman"/>
          <w:sz w:val="24"/>
          <w:szCs w:val="24"/>
        </w:rPr>
      </w:pPr>
    </w:p>
    <w:p w:rsidR="00555413" w:rsidRDefault="006E2B5E" w:rsidP="00555413">
      <w:pPr>
        <w:spacing w:after="0"/>
        <w:rPr>
          <w:rFonts w:ascii="Times New Roman" w:hAnsi="Times New Roman" w:cs="Times New Roman"/>
          <w:sz w:val="24"/>
          <w:szCs w:val="24"/>
        </w:rPr>
      </w:pPr>
      <w:r w:rsidRPr="00555413">
        <w:rPr>
          <w:rFonts w:ascii="Times New Roman" w:hAnsi="Times New Roman" w:cs="Times New Roman"/>
          <w:sz w:val="24"/>
          <w:szCs w:val="24"/>
          <w:u w:val="single"/>
        </w:rPr>
        <w:t>Контактная информация для направления обращений</w:t>
      </w:r>
      <w:r w:rsidR="00555413">
        <w:rPr>
          <w:rFonts w:ascii="Times New Roman" w:hAnsi="Times New Roman" w:cs="Times New Roman"/>
          <w:sz w:val="24"/>
          <w:szCs w:val="24"/>
        </w:rPr>
        <w:t xml:space="preserve">: </w:t>
      </w:r>
    </w:p>
    <w:p w:rsidR="00555413" w:rsidRPr="00555413" w:rsidRDefault="006E2B5E" w:rsidP="00555413">
      <w:pPr>
        <w:spacing w:after="0"/>
        <w:rPr>
          <w:rFonts w:ascii="Times New Roman" w:eastAsia="Calibri" w:hAnsi="Times New Roman" w:cs="Times New Roman"/>
          <w:sz w:val="24"/>
          <w:szCs w:val="24"/>
        </w:rPr>
      </w:pPr>
      <w:r w:rsidRPr="00555413">
        <w:rPr>
          <w:rFonts w:ascii="Times New Roman" w:hAnsi="Times New Roman" w:cs="Times New Roman"/>
          <w:sz w:val="24"/>
          <w:szCs w:val="24"/>
        </w:rPr>
        <w:t xml:space="preserve"> </w:t>
      </w:r>
      <w:r w:rsidR="00555413" w:rsidRPr="00555413">
        <w:rPr>
          <w:rFonts w:ascii="Times New Roman" w:eastAsia="Calibri" w:hAnsi="Times New Roman" w:cs="Times New Roman"/>
          <w:sz w:val="24"/>
          <w:szCs w:val="24"/>
        </w:rPr>
        <w:t>тел.  (4012) 567-008,</w:t>
      </w:r>
    </w:p>
    <w:p w:rsidR="00555413" w:rsidRPr="00555413" w:rsidRDefault="00555413" w:rsidP="00555413">
      <w:pPr>
        <w:spacing w:after="0"/>
        <w:rPr>
          <w:rFonts w:ascii="Times New Roman" w:eastAsia="Calibri" w:hAnsi="Times New Roman" w:cs="Times New Roman"/>
          <w:sz w:val="24"/>
          <w:szCs w:val="24"/>
        </w:rPr>
      </w:pPr>
      <w:r w:rsidRPr="00555413">
        <w:rPr>
          <w:rFonts w:ascii="Times New Roman" w:eastAsia="Calibri" w:hAnsi="Times New Roman" w:cs="Times New Roman"/>
          <w:sz w:val="24"/>
          <w:szCs w:val="24"/>
        </w:rPr>
        <w:t>факс (4012) 567-002</w:t>
      </w:r>
    </w:p>
    <w:p w:rsidR="00555413" w:rsidRPr="00555413" w:rsidRDefault="002707D4" w:rsidP="00555413">
      <w:pPr>
        <w:spacing w:after="0"/>
        <w:rPr>
          <w:rFonts w:ascii="Times New Roman" w:eastAsia="Calibri" w:hAnsi="Times New Roman" w:cs="Times New Roman"/>
          <w:sz w:val="24"/>
          <w:szCs w:val="24"/>
        </w:rPr>
      </w:pPr>
      <w:hyperlink r:id="rId7" w:history="1">
        <w:r w:rsidR="00555413" w:rsidRPr="00555413">
          <w:rPr>
            <w:rStyle w:val="a4"/>
            <w:rFonts w:ascii="Times New Roman" w:eastAsia="Calibri" w:hAnsi="Times New Roman" w:cs="Times New Roman"/>
            <w:sz w:val="24"/>
            <w:szCs w:val="24"/>
            <w:lang w:val="en-US"/>
          </w:rPr>
          <w:t>www</w:t>
        </w:r>
        <w:r w:rsidR="00555413" w:rsidRPr="00555413">
          <w:rPr>
            <w:rStyle w:val="a4"/>
            <w:rFonts w:ascii="Times New Roman" w:eastAsia="Calibri" w:hAnsi="Times New Roman" w:cs="Times New Roman"/>
            <w:sz w:val="24"/>
            <w:szCs w:val="24"/>
          </w:rPr>
          <w:t>.</w:t>
        </w:r>
        <w:r w:rsidR="00555413" w:rsidRPr="00555413">
          <w:rPr>
            <w:rStyle w:val="a4"/>
            <w:rFonts w:ascii="Times New Roman" w:eastAsia="Calibri" w:hAnsi="Times New Roman" w:cs="Times New Roman"/>
            <w:sz w:val="24"/>
            <w:szCs w:val="24"/>
            <w:lang w:val="en-US"/>
          </w:rPr>
          <w:t>zek</w:t>
        </w:r>
        <w:r w:rsidR="00555413" w:rsidRPr="00555413">
          <w:rPr>
            <w:rStyle w:val="a4"/>
            <w:rFonts w:ascii="Times New Roman" w:eastAsia="Calibri" w:hAnsi="Times New Roman" w:cs="Times New Roman"/>
            <w:sz w:val="24"/>
            <w:szCs w:val="24"/>
          </w:rPr>
          <w:t>39.</w:t>
        </w:r>
        <w:r w:rsidR="00555413" w:rsidRPr="00555413">
          <w:rPr>
            <w:rStyle w:val="a4"/>
            <w:rFonts w:ascii="Times New Roman" w:eastAsia="Calibri" w:hAnsi="Times New Roman" w:cs="Times New Roman"/>
            <w:sz w:val="24"/>
            <w:szCs w:val="24"/>
            <w:lang w:val="en-US"/>
          </w:rPr>
          <w:t>ru</w:t>
        </w:r>
      </w:hyperlink>
      <w:r w:rsidR="00555413" w:rsidRPr="00555413">
        <w:rPr>
          <w:rFonts w:ascii="Times New Roman" w:eastAsia="Calibri" w:hAnsi="Times New Roman" w:cs="Times New Roman"/>
          <w:sz w:val="24"/>
          <w:szCs w:val="24"/>
        </w:rPr>
        <w:t xml:space="preserve">   </w:t>
      </w:r>
      <w:r w:rsidR="00555413" w:rsidRPr="00555413">
        <w:rPr>
          <w:rFonts w:ascii="Times New Roman" w:eastAsia="Calibri" w:hAnsi="Times New Roman" w:cs="Times New Roman"/>
          <w:sz w:val="24"/>
          <w:szCs w:val="24"/>
          <w:lang w:val="en-US"/>
        </w:rPr>
        <w:t>wpc</w:t>
      </w:r>
      <w:r w:rsidR="00555413" w:rsidRPr="00555413">
        <w:rPr>
          <w:rFonts w:ascii="Times New Roman" w:eastAsia="Calibri" w:hAnsi="Times New Roman" w:cs="Times New Roman"/>
          <w:sz w:val="24"/>
          <w:szCs w:val="24"/>
        </w:rPr>
        <w:t>@</w:t>
      </w:r>
      <w:r w:rsidR="00555413" w:rsidRPr="00555413">
        <w:rPr>
          <w:rFonts w:ascii="Times New Roman" w:eastAsia="Calibri" w:hAnsi="Times New Roman" w:cs="Times New Roman"/>
          <w:sz w:val="24"/>
          <w:szCs w:val="24"/>
          <w:lang w:val="en-US"/>
        </w:rPr>
        <w:t>inbox</w:t>
      </w:r>
      <w:r w:rsidR="00555413" w:rsidRPr="00555413">
        <w:rPr>
          <w:rFonts w:ascii="Times New Roman" w:eastAsia="Calibri" w:hAnsi="Times New Roman" w:cs="Times New Roman"/>
          <w:sz w:val="24"/>
          <w:szCs w:val="24"/>
        </w:rPr>
        <w:t>.</w:t>
      </w:r>
      <w:r w:rsidR="00555413" w:rsidRPr="00555413">
        <w:rPr>
          <w:rFonts w:ascii="Times New Roman" w:eastAsia="Calibri" w:hAnsi="Times New Roman" w:cs="Times New Roman"/>
          <w:sz w:val="24"/>
          <w:szCs w:val="24"/>
          <w:lang w:val="en-US"/>
        </w:rPr>
        <w:t>ru</w:t>
      </w:r>
    </w:p>
    <w:p w:rsidR="006E2B5E" w:rsidRPr="00555413" w:rsidRDefault="006E2B5E" w:rsidP="006E2B5E">
      <w:pPr>
        <w:pStyle w:val="ConsPlusNonformat"/>
        <w:jc w:val="both"/>
        <w:rPr>
          <w:rFonts w:ascii="Times New Roman" w:hAnsi="Times New Roman" w:cs="Times New Roman"/>
          <w:sz w:val="24"/>
          <w:szCs w:val="24"/>
        </w:rPr>
      </w:pPr>
    </w:p>
    <w:p w:rsidR="006E2B5E" w:rsidRPr="006E2B5E" w:rsidRDefault="006E2B5E" w:rsidP="006E2B5E">
      <w:pPr>
        <w:pStyle w:val="ConsPlusNormal"/>
        <w:ind w:firstLine="540"/>
        <w:jc w:val="both"/>
        <w:rPr>
          <w:rFonts w:ascii="Times New Roman" w:hAnsi="Times New Roman" w:cs="Times New Roman"/>
          <w:sz w:val="24"/>
          <w:szCs w:val="24"/>
        </w:rPr>
      </w:pPr>
    </w:p>
    <w:p w:rsidR="006E2B5E" w:rsidRPr="006E2B5E" w:rsidRDefault="006E2B5E" w:rsidP="006E2B5E">
      <w:pPr>
        <w:pStyle w:val="ConsPlusNormal"/>
        <w:ind w:firstLine="540"/>
        <w:jc w:val="both"/>
        <w:rPr>
          <w:rFonts w:ascii="Times New Roman" w:hAnsi="Times New Roman" w:cs="Times New Roman"/>
          <w:sz w:val="24"/>
          <w:szCs w:val="24"/>
        </w:rPr>
      </w:pPr>
      <w:r w:rsidRPr="006E2B5E">
        <w:rPr>
          <w:rFonts w:ascii="Times New Roman" w:hAnsi="Times New Roman" w:cs="Times New Roman"/>
          <w:sz w:val="24"/>
          <w:szCs w:val="24"/>
        </w:rPr>
        <w:t>--------------------------------</w:t>
      </w:r>
    </w:p>
    <w:p w:rsidR="00351EE9" w:rsidRPr="006E2B5E" w:rsidRDefault="00351EE9">
      <w:pPr>
        <w:rPr>
          <w:rFonts w:ascii="Times New Roman" w:hAnsi="Times New Roman" w:cs="Times New Roman"/>
          <w:sz w:val="24"/>
          <w:szCs w:val="24"/>
        </w:rPr>
      </w:pPr>
    </w:p>
    <w:sectPr w:rsidR="00351EE9" w:rsidRPr="006E2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74F41"/>
    <w:multiLevelType w:val="hybridMultilevel"/>
    <w:tmpl w:val="8346A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67"/>
    <w:rsid w:val="00047567"/>
    <w:rsid w:val="002707D4"/>
    <w:rsid w:val="00294A30"/>
    <w:rsid w:val="002D5EC9"/>
    <w:rsid w:val="00351EE9"/>
    <w:rsid w:val="0036713D"/>
    <w:rsid w:val="004F7042"/>
    <w:rsid w:val="00523F31"/>
    <w:rsid w:val="00555413"/>
    <w:rsid w:val="0066590A"/>
    <w:rsid w:val="006B10A9"/>
    <w:rsid w:val="006E2B5E"/>
    <w:rsid w:val="00720E17"/>
    <w:rsid w:val="009519AE"/>
    <w:rsid w:val="009972FF"/>
    <w:rsid w:val="00BF6793"/>
    <w:rsid w:val="00D34F75"/>
    <w:rsid w:val="00D36D12"/>
    <w:rsid w:val="00F46CBA"/>
    <w:rsid w:val="00F9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2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294A30"/>
    <w:pPr>
      <w:ind w:left="720"/>
      <w:contextualSpacing/>
    </w:pPr>
  </w:style>
  <w:style w:type="character" w:styleId="a4">
    <w:name w:val="Hyperlink"/>
    <w:basedOn w:val="a0"/>
    <w:uiPriority w:val="99"/>
    <w:unhideWhenUsed/>
    <w:rsid w:val="005554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2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294A30"/>
    <w:pPr>
      <w:ind w:left="720"/>
      <w:contextualSpacing/>
    </w:pPr>
  </w:style>
  <w:style w:type="character" w:styleId="a4">
    <w:name w:val="Hyperlink"/>
    <w:basedOn w:val="a0"/>
    <w:uiPriority w:val="99"/>
    <w:unhideWhenUsed/>
    <w:rsid w:val="00555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ek39.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C6B7-0E9C-4A9B-BBA7-FBC22320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Б. Апинит</dc:creator>
  <cp:lastModifiedBy>комп</cp:lastModifiedBy>
  <cp:revision>4</cp:revision>
  <dcterms:created xsi:type="dcterms:W3CDTF">2017-12-15T12:21:00Z</dcterms:created>
  <dcterms:modified xsi:type="dcterms:W3CDTF">2017-12-15T14:22:00Z</dcterms:modified>
</cp:coreProperties>
</file>