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 xml:space="preserve">               ПАСПОРТ УСЛУГИ (ПРОЦЕССА) СЕТЕВОЙ ОРГАНИЗАЦИИ</w:t>
      </w: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B5E" w:rsidRDefault="008F34E9" w:rsidP="006E2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Временное т</w:t>
      </w:r>
      <w:r w:rsidR="006E2B5E" w:rsidRPr="006E2B5E">
        <w:rPr>
          <w:rFonts w:ascii="Times New Roman" w:hAnsi="Times New Roman" w:cs="Times New Roman"/>
          <w:sz w:val="24"/>
          <w:szCs w:val="24"/>
        </w:rPr>
        <w:t>ехнологическое присоединение к электрическим сетям АО «Западная энергетическая компания»</w:t>
      </w:r>
    </w:p>
    <w:p w:rsidR="006E2B5E" w:rsidRDefault="006E2B5E" w:rsidP="006E2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6E2B5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E2B5E" w:rsidRPr="006E2B5E" w:rsidRDefault="006E2B5E" w:rsidP="006E2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>наименование услуги (процесса)</w:t>
      </w: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  <w:u w:val="single"/>
        </w:rPr>
        <w:t>Круг заявителей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5FEC" w:rsidRPr="00DC5FEC">
        <w:rPr>
          <w:rFonts w:ascii="Times New Roman" w:hAnsi="Times New Roman" w:cs="Times New Roman"/>
          <w:sz w:val="24"/>
          <w:szCs w:val="24"/>
        </w:rPr>
        <w:t>юридически</w:t>
      </w:r>
      <w:r w:rsidR="00DC5FEC" w:rsidRPr="00DC5FEC">
        <w:rPr>
          <w:rFonts w:ascii="Times New Roman" w:hAnsi="Times New Roman" w:cs="Times New Roman"/>
          <w:sz w:val="24"/>
          <w:szCs w:val="24"/>
        </w:rPr>
        <w:t>е</w:t>
      </w:r>
      <w:r w:rsidR="00DC5FEC" w:rsidRPr="00DC5FEC">
        <w:rPr>
          <w:rFonts w:ascii="Times New Roman" w:hAnsi="Times New Roman" w:cs="Times New Roman"/>
          <w:sz w:val="24"/>
          <w:szCs w:val="24"/>
        </w:rPr>
        <w:t xml:space="preserve"> лица или индивидуальны</w:t>
      </w:r>
      <w:r w:rsidR="00DC5FEC" w:rsidRPr="00DC5FEC">
        <w:rPr>
          <w:rFonts w:ascii="Times New Roman" w:hAnsi="Times New Roman" w:cs="Times New Roman"/>
          <w:sz w:val="24"/>
          <w:szCs w:val="24"/>
        </w:rPr>
        <w:t>е</w:t>
      </w:r>
      <w:r w:rsidR="00DC5FEC" w:rsidRPr="00DC5FEC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DC5FEC" w:rsidRPr="00DC5FEC">
        <w:rPr>
          <w:rFonts w:ascii="Times New Roman" w:hAnsi="Times New Roman" w:cs="Times New Roman"/>
          <w:sz w:val="24"/>
          <w:szCs w:val="24"/>
        </w:rPr>
        <w:t>и</w:t>
      </w:r>
      <w:r w:rsidR="00DC5FEC" w:rsidRPr="00DC5FEC">
        <w:rPr>
          <w:rFonts w:ascii="Times New Roman" w:hAnsi="Times New Roman" w:cs="Times New Roman"/>
          <w:sz w:val="24"/>
          <w:szCs w:val="24"/>
        </w:rPr>
        <w:t xml:space="preserve"> в целях технологического присоединения по одному источнику электроснабжения </w:t>
      </w:r>
      <w:proofErr w:type="spellStart"/>
      <w:r w:rsidR="00DC5FEC" w:rsidRPr="00DC5FE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DC5FEC" w:rsidRPr="00DC5FEC">
        <w:rPr>
          <w:rFonts w:ascii="Times New Roman" w:hAnsi="Times New Roman" w:cs="Times New Roman"/>
          <w:sz w:val="24"/>
          <w:szCs w:val="24"/>
        </w:rPr>
        <w:t xml:space="preserve"> устройств, максимальная мощность </w:t>
      </w:r>
      <w:proofErr w:type="spellStart"/>
      <w:r w:rsidR="00DC5FEC" w:rsidRPr="00DC5FE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DC5FEC" w:rsidRPr="00DC5FEC">
        <w:rPr>
          <w:rFonts w:ascii="Times New Roman" w:hAnsi="Times New Roman" w:cs="Times New Roman"/>
          <w:sz w:val="24"/>
          <w:szCs w:val="24"/>
        </w:rPr>
        <w:t xml:space="preserve"> устройств которых составляет до 150 к</w:t>
      </w:r>
      <w:proofErr w:type="gramStart"/>
      <w:r w:rsidR="00DC5FEC" w:rsidRPr="00DC5FEC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="00DC5FEC" w:rsidRPr="00DC5FEC">
        <w:rPr>
          <w:rFonts w:ascii="Times New Roman" w:hAnsi="Times New Roman" w:cs="Times New Roman"/>
          <w:sz w:val="24"/>
          <w:szCs w:val="24"/>
        </w:rPr>
        <w:t>ючительно</w:t>
      </w:r>
      <w:r w:rsidRPr="00DC5FEC">
        <w:rPr>
          <w:rFonts w:ascii="Times New Roman" w:hAnsi="Times New Roman" w:cs="Times New Roman"/>
          <w:sz w:val="24"/>
          <w:szCs w:val="24"/>
        </w:rPr>
        <w:t>.</w:t>
      </w: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2B5E">
        <w:rPr>
          <w:rFonts w:ascii="Times New Roman" w:hAnsi="Times New Roman" w:cs="Times New Roman"/>
          <w:sz w:val="24"/>
          <w:szCs w:val="24"/>
          <w:u w:val="single"/>
        </w:rPr>
        <w:t>Размер платы за предоставление услуги (процесса) и основание ее взимания:</w:t>
      </w:r>
    </w:p>
    <w:p w:rsid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Службы по государственному регулированию цен и тарифов Калининградской области от 26 декабря 2016 года №146-01тп./16</w:t>
      </w:r>
      <w:r w:rsidR="00D34F75">
        <w:rPr>
          <w:rFonts w:ascii="Times New Roman" w:hAnsi="Times New Roman" w:cs="Times New Roman"/>
          <w:sz w:val="24"/>
          <w:szCs w:val="24"/>
        </w:rPr>
        <w:t xml:space="preserve">  (далее Приказ Службы)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2B5E" w:rsidRDefault="006E2B5E" w:rsidP="002D5EC9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заявителей с максимальной мощностью присоединяемых объектов,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превышаюшей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кВт включительно (с учетом ранее присоединенных в данной точке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присоединегния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устройств), в размере 550 рублей (с учетом НДС), при присоединении заявителя, владеющего объектами, отнесенными к третьей категории надежности (по одному источнику электроснабжения), при условии, что расстояние от границ участка заявителя до объектов электросетевого хозяйства территориальной сетевой организации Калининградской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уровне напряжения до 20 кВ включительно необходимого заявителю класса напряжения, составляет не более 300 метров в городах и поселках городского типа и не более 500 метров в сельской местности;</w:t>
      </w:r>
    </w:p>
    <w:p w:rsidR="00294A30" w:rsidRPr="00294A30" w:rsidRDefault="006E2B5E" w:rsidP="002D5EC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A30">
        <w:rPr>
          <w:rFonts w:ascii="Times New Roman" w:hAnsi="Times New Roman" w:cs="Times New Roman"/>
          <w:sz w:val="24"/>
          <w:szCs w:val="24"/>
        </w:rPr>
        <w:t>Для садоводческих, огороднических, дачных некоммерческих объединений (гаражно-строительных</w:t>
      </w:r>
      <w:r w:rsidR="00294A30" w:rsidRPr="00294A30">
        <w:rPr>
          <w:rFonts w:ascii="Times New Roman" w:hAnsi="Times New Roman" w:cs="Times New Roman"/>
          <w:sz w:val="24"/>
          <w:szCs w:val="24"/>
        </w:rPr>
        <w:t xml:space="preserve">, гаражных кооперативов) – в размере 550 рублей (с учетом НДС), умноженных на количество членов этих объединений, при условии присоединения каждым членом такого объединения не более 15 кВт по третьей категории надежности </w:t>
      </w:r>
      <w:r w:rsidR="00294A30" w:rsidRPr="00294A3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одному источнику электроснабжения)</w:t>
      </w:r>
      <w:r w:rsidR="0029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ранее присоединенных в данной точке присоединения устройств при присоединении к электрическим сетям территориальной сетевой организации</w:t>
      </w:r>
      <w:r w:rsidR="002D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A30" w:rsidRPr="00294A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Калининградской области</w:t>
      </w:r>
      <w:proofErr w:type="gramEnd"/>
      <w:r w:rsidR="00294A30" w:rsidRPr="0029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напряжения до 20 кВ включительно </w:t>
      </w:r>
      <w:r w:rsidR="002D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нахождения </w:t>
      </w:r>
      <w:proofErr w:type="spellStart"/>
      <w:r w:rsidR="002D5EC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2D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указанных объединений на расстоянии </w:t>
      </w:r>
      <w:r w:rsidR="00294A30" w:rsidRPr="0029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300 метров в городах и поселках городского типа и не более 500 метров в сельской местности</w:t>
      </w:r>
      <w:r w:rsidR="002D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существующих объектов электросетевого хозяйства территориальной сетевой организации Калининградской области</w:t>
      </w:r>
      <w:r w:rsidR="00294A30" w:rsidRPr="00294A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5EC9" w:rsidRPr="002D5EC9" w:rsidRDefault="002D5EC9" w:rsidP="002D5EC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EC9">
        <w:rPr>
          <w:rFonts w:ascii="Times New Roman" w:hAnsi="Times New Roman" w:cs="Times New Roman"/>
          <w:sz w:val="24"/>
          <w:szCs w:val="24"/>
        </w:rPr>
        <w:t xml:space="preserve">Для граждан, объединивших свои гаражи и хозяйственные постройки (погреба, сараи), в размере 550 рублей (с учетом НДС) при условии присоединения каждым собственником этих построек не более 15 кВт по третьей категории надежности </w:t>
      </w:r>
      <w:r w:rsidRPr="002D5EC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одному источнику электроснабжения</w:t>
      </w:r>
      <w:r w:rsidRPr="002D5EC9">
        <w:rPr>
          <w:rFonts w:ascii="Times New Roman" w:hAnsi="Times New Roman" w:cs="Times New Roman"/>
          <w:sz w:val="24"/>
          <w:szCs w:val="24"/>
        </w:rPr>
        <w:t xml:space="preserve">) </w:t>
      </w:r>
      <w:r w:rsidRPr="002D5EC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ранее присоединенных в данной точке присоединения устройств при присоединении к электрическим сетям территориальной сетевой организации Калининградской области на уровне напряжения до 20</w:t>
      </w:r>
      <w:proofErr w:type="gramEnd"/>
      <w:r w:rsidRPr="002D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 включительно и нахождения </w:t>
      </w:r>
      <w:proofErr w:type="spellStart"/>
      <w:r w:rsidRPr="002D5EC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2D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указанных объединен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построек</w:t>
      </w:r>
      <w:r w:rsidRPr="002D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расстоянии  не более 300 метров в городах и поселках городского типа и не более 500 метров в сельской местности до существующих объектов электросетевого хозяйства территориальной сетевой организации Калининградской области;</w:t>
      </w:r>
    </w:p>
    <w:p w:rsidR="002D5EC9" w:rsidRPr="002D5EC9" w:rsidRDefault="002D5EC9" w:rsidP="002D5EC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EC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2D5EC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D5EC9">
        <w:rPr>
          <w:rFonts w:ascii="Times New Roman" w:hAnsi="Times New Roman" w:cs="Times New Roman"/>
          <w:sz w:val="24"/>
          <w:szCs w:val="24"/>
        </w:rPr>
        <w:t xml:space="preserve"> устройств религиозных организаций – в размере 550 рублей </w:t>
      </w:r>
      <w:r w:rsidRPr="002D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учетом НДС) при условии присоединения каждым собственником этих построек не более 15 кВт по третьей категории надежности (по одному источнику </w:t>
      </w:r>
      <w:r w:rsidRPr="002D5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электроснабжения) с учетом ранее присоединенных в данной точке присоединения устройств при присоединении к электрическим сетям территориальной сетевой организации Калининградской области на уровне напряжения до 20 кВ включительно и нахождения </w:t>
      </w:r>
      <w:proofErr w:type="spellStart"/>
      <w:r w:rsidRPr="002D5EC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proofErr w:type="gramEnd"/>
      <w:r w:rsidRPr="002D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организаций</w:t>
      </w:r>
      <w:r w:rsidRPr="002D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расстоянии  не более 300 метров в городах и поселках городского типа и не более 500 метров в сельской местности до существующих объектов электросетевого хозяйства территориальной сетевой организации Калининградской области;</w:t>
      </w:r>
    </w:p>
    <w:p w:rsidR="006E2B5E" w:rsidRPr="006E2B5E" w:rsidRDefault="002D5EC9" w:rsidP="00D34F7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расчета платы за технологическое присоединение к электрическим сетям </w:t>
      </w:r>
      <w:r w:rsidR="00D34F75">
        <w:rPr>
          <w:rFonts w:ascii="Times New Roman" w:hAnsi="Times New Roman" w:cs="Times New Roman"/>
          <w:sz w:val="24"/>
          <w:szCs w:val="24"/>
        </w:rPr>
        <w:t xml:space="preserve">территориальных сетевых организаций Калининградской области </w:t>
      </w:r>
      <w:r w:rsidR="00D34F75" w:rsidRPr="00D34F75">
        <w:rPr>
          <w:rFonts w:ascii="Times New Roman" w:hAnsi="Times New Roman" w:cs="Times New Roman"/>
          <w:sz w:val="24"/>
          <w:szCs w:val="24"/>
        </w:rPr>
        <w:t xml:space="preserve">в других случаях </w:t>
      </w:r>
      <w:r w:rsidR="00D34F75">
        <w:rPr>
          <w:rFonts w:ascii="Times New Roman" w:hAnsi="Times New Roman" w:cs="Times New Roman"/>
          <w:sz w:val="24"/>
          <w:szCs w:val="24"/>
        </w:rPr>
        <w:t xml:space="preserve">Приказом Службы </w:t>
      </w:r>
      <w:r>
        <w:rPr>
          <w:rFonts w:ascii="Times New Roman" w:hAnsi="Times New Roman" w:cs="Times New Roman"/>
          <w:sz w:val="24"/>
          <w:szCs w:val="24"/>
        </w:rPr>
        <w:t xml:space="preserve">установлены стандартизированные тарифные ставки </w:t>
      </w:r>
      <w:r w:rsidR="00D34F75" w:rsidRPr="00D34F75">
        <w:rPr>
          <w:rFonts w:ascii="Times New Roman" w:hAnsi="Times New Roman" w:cs="Times New Roman"/>
          <w:sz w:val="24"/>
          <w:szCs w:val="24"/>
        </w:rPr>
        <w:t>на 2017 год</w:t>
      </w:r>
      <w:r w:rsidR="00D34F75">
        <w:rPr>
          <w:rFonts w:ascii="Times New Roman" w:hAnsi="Times New Roman" w:cs="Times New Roman"/>
          <w:sz w:val="24"/>
          <w:szCs w:val="24"/>
        </w:rPr>
        <w:t xml:space="preserve"> и формулы для расчета платы за технологическое </w:t>
      </w:r>
      <w:proofErr w:type="gramStart"/>
      <w:r w:rsidR="00D34F75">
        <w:rPr>
          <w:rFonts w:ascii="Times New Roman" w:hAnsi="Times New Roman" w:cs="Times New Roman"/>
          <w:sz w:val="24"/>
          <w:szCs w:val="24"/>
        </w:rPr>
        <w:t>присоединение</w:t>
      </w:r>
      <w:proofErr w:type="gramEnd"/>
      <w:r w:rsidR="00D34F75" w:rsidRPr="00D34F75">
        <w:t xml:space="preserve"> </w:t>
      </w:r>
      <w:r w:rsidR="00D34F75" w:rsidRPr="00D34F75">
        <w:rPr>
          <w:rFonts w:ascii="Times New Roman" w:hAnsi="Times New Roman" w:cs="Times New Roman"/>
          <w:sz w:val="24"/>
          <w:szCs w:val="24"/>
        </w:rPr>
        <w:t>к электрическим сетям</w:t>
      </w:r>
      <w:r w:rsidR="00D34F75">
        <w:rPr>
          <w:rFonts w:ascii="Times New Roman" w:hAnsi="Times New Roman" w:cs="Times New Roman"/>
          <w:sz w:val="24"/>
          <w:szCs w:val="24"/>
        </w:rPr>
        <w:t xml:space="preserve"> исходя из  </w:t>
      </w:r>
      <w:r w:rsidR="00D34F75" w:rsidRPr="00D34F75">
        <w:rPr>
          <w:rFonts w:ascii="Times New Roman" w:hAnsi="Times New Roman" w:cs="Times New Roman"/>
          <w:sz w:val="24"/>
          <w:szCs w:val="24"/>
        </w:rPr>
        <w:t>стандартизированны</w:t>
      </w:r>
      <w:r w:rsidR="00D34F75">
        <w:rPr>
          <w:rFonts w:ascii="Times New Roman" w:hAnsi="Times New Roman" w:cs="Times New Roman"/>
          <w:sz w:val="24"/>
          <w:szCs w:val="24"/>
        </w:rPr>
        <w:t>х</w:t>
      </w:r>
      <w:r w:rsidR="00D34F75" w:rsidRPr="00D34F75">
        <w:rPr>
          <w:rFonts w:ascii="Times New Roman" w:hAnsi="Times New Roman" w:cs="Times New Roman"/>
          <w:sz w:val="24"/>
          <w:szCs w:val="24"/>
        </w:rPr>
        <w:t xml:space="preserve"> тарифны</w:t>
      </w:r>
      <w:r w:rsidR="00D34F75">
        <w:rPr>
          <w:rFonts w:ascii="Times New Roman" w:hAnsi="Times New Roman" w:cs="Times New Roman"/>
          <w:sz w:val="24"/>
          <w:szCs w:val="24"/>
        </w:rPr>
        <w:t>х</w:t>
      </w:r>
      <w:r w:rsidR="00D34F75" w:rsidRPr="00D34F75">
        <w:rPr>
          <w:rFonts w:ascii="Times New Roman" w:hAnsi="Times New Roman" w:cs="Times New Roman"/>
          <w:sz w:val="24"/>
          <w:szCs w:val="24"/>
        </w:rPr>
        <w:t xml:space="preserve"> став</w:t>
      </w:r>
      <w:r w:rsidR="00D34F75">
        <w:rPr>
          <w:rFonts w:ascii="Times New Roman" w:hAnsi="Times New Roman" w:cs="Times New Roman"/>
          <w:sz w:val="24"/>
          <w:szCs w:val="24"/>
        </w:rPr>
        <w:t>о</w:t>
      </w:r>
      <w:r w:rsidR="00D34F75" w:rsidRPr="00D34F75">
        <w:rPr>
          <w:rFonts w:ascii="Times New Roman" w:hAnsi="Times New Roman" w:cs="Times New Roman"/>
          <w:sz w:val="24"/>
          <w:szCs w:val="24"/>
        </w:rPr>
        <w:t>к</w:t>
      </w:r>
      <w:r w:rsidR="00D34F75">
        <w:rPr>
          <w:rFonts w:ascii="Times New Roman" w:hAnsi="Times New Roman" w:cs="Times New Roman"/>
          <w:sz w:val="24"/>
          <w:szCs w:val="24"/>
        </w:rPr>
        <w:t xml:space="preserve"> и способа технологического присоединения.</w:t>
      </w: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34F75" w:rsidRDefault="00D34F75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4F75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4F75">
        <w:rPr>
          <w:rFonts w:ascii="Times New Roman" w:hAnsi="Times New Roman" w:cs="Times New Roman"/>
          <w:sz w:val="24"/>
          <w:szCs w:val="24"/>
          <w:u w:val="single"/>
        </w:rPr>
        <w:t>Условия оказания услуги</w:t>
      </w:r>
      <w:r w:rsidRPr="006E2B5E">
        <w:rPr>
          <w:rFonts w:ascii="Times New Roman" w:hAnsi="Times New Roman" w:cs="Times New Roman"/>
          <w:sz w:val="24"/>
          <w:szCs w:val="24"/>
        </w:rPr>
        <w:t xml:space="preserve"> (процесса): </w:t>
      </w:r>
      <w:r w:rsidR="00D34F75">
        <w:rPr>
          <w:rFonts w:ascii="Times New Roman" w:hAnsi="Times New Roman" w:cs="Times New Roman"/>
          <w:sz w:val="24"/>
          <w:szCs w:val="24"/>
        </w:rPr>
        <w:t xml:space="preserve">поступление заявки на технологическое присоединение к электрическим сетям, предоставление заявителем комплекта необходимых документов, наличие фактической возможности. </w:t>
      </w:r>
    </w:p>
    <w:p w:rsidR="00D34F75" w:rsidRDefault="00D34F75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D12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4F75">
        <w:rPr>
          <w:rFonts w:ascii="Times New Roman" w:hAnsi="Times New Roman" w:cs="Times New Roman"/>
          <w:sz w:val="24"/>
          <w:szCs w:val="24"/>
          <w:u w:val="single"/>
        </w:rPr>
        <w:t>Результат оказания услуги</w:t>
      </w:r>
      <w:r w:rsidRPr="006E2B5E">
        <w:rPr>
          <w:rFonts w:ascii="Times New Roman" w:hAnsi="Times New Roman" w:cs="Times New Roman"/>
          <w:sz w:val="24"/>
          <w:szCs w:val="24"/>
        </w:rPr>
        <w:t xml:space="preserve"> (процесса): </w:t>
      </w:r>
      <w:r w:rsidR="00D36D12">
        <w:rPr>
          <w:rFonts w:ascii="Times New Roman" w:hAnsi="Times New Roman" w:cs="Times New Roman"/>
          <w:sz w:val="24"/>
          <w:szCs w:val="24"/>
        </w:rPr>
        <w:t>непосредственное фактическое присоединение к электрическим сетям сетевой организации после выполнения всех договорных условий.</w:t>
      </w:r>
    </w:p>
    <w:p w:rsidR="00D36D12" w:rsidRDefault="00D36D12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6CBA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FEC">
        <w:rPr>
          <w:rFonts w:ascii="Times New Roman" w:hAnsi="Times New Roman" w:cs="Times New Roman"/>
          <w:sz w:val="24"/>
          <w:szCs w:val="24"/>
          <w:u w:val="single"/>
        </w:rPr>
        <w:t>Общий срок оказания услуги (процесса</w:t>
      </w:r>
      <w:r w:rsidRPr="006E2B5E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DC5FEC" w:rsidRPr="00DC5FEC" w:rsidRDefault="00DC5FEC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FEC">
        <w:rPr>
          <w:rFonts w:ascii="Times New Roman" w:hAnsi="Times New Roman" w:cs="Times New Roman"/>
          <w:sz w:val="24"/>
          <w:szCs w:val="24"/>
        </w:rPr>
        <w:t xml:space="preserve">до наступления срока технологического присоединения с применением постоянной схемы электроснабжения, установленного договором. </w:t>
      </w:r>
    </w:p>
    <w:p w:rsidR="00DC5FEC" w:rsidRPr="00DC5FEC" w:rsidRDefault="00DC5FEC" w:rsidP="00DC5FEC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когда </w:t>
      </w:r>
      <w:proofErr w:type="spellStart"/>
      <w:r w:rsidRPr="00DC5FE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DC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являются передвижными и имеют максимальную мощность до 150 к</w:t>
      </w:r>
      <w:proofErr w:type="gramStart"/>
      <w:r w:rsidRPr="00DC5FEC">
        <w:rPr>
          <w:rFonts w:ascii="Times New Roman" w:eastAsia="Times New Roman" w:hAnsi="Times New Roman" w:cs="Times New Roman"/>
          <w:sz w:val="24"/>
          <w:szCs w:val="24"/>
          <w:lang w:eastAsia="ru-RU"/>
        </w:rPr>
        <w:t>Вт вкл</w:t>
      </w:r>
      <w:proofErr w:type="gramEnd"/>
      <w:r w:rsidRPr="00DC5FEC">
        <w:rPr>
          <w:rFonts w:ascii="Times New Roman" w:eastAsia="Times New Roman" w:hAnsi="Times New Roman" w:cs="Times New Roman"/>
          <w:sz w:val="24"/>
          <w:szCs w:val="24"/>
          <w:lang w:eastAsia="ru-RU"/>
        </w:rPr>
        <w:t>ючительно, - на срок до 12 месяцев.</w:t>
      </w:r>
    </w:p>
    <w:p w:rsidR="00DC5FEC" w:rsidRDefault="00DC5FEC" w:rsidP="006E2B5E">
      <w:pPr>
        <w:pStyle w:val="ConsPlusNonformat"/>
        <w:jc w:val="both"/>
        <w:rPr>
          <w:sz w:val="22"/>
        </w:rPr>
      </w:pPr>
    </w:p>
    <w:p w:rsidR="006E2B5E" w:rsidRPr="006E2B5E" w:rsidRDefault="006E2B5E" w:rsidP="006E2B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B5E">
        <w:rPr>
          <w:rFonts w:ascii="Times New Roman" w:hAnsi="Times New Roman" w:cs="Times New Roman"/>
          <w:sz w:val="24"/>
          <w:szCs w:val="24"/>
        </w:rPr>
        <w:t>Состав, последовательность и сроки оказания услуги (процесса):</w:t>
      </w:r>
    </w:p>
    <w:p w:rsidR="006E2B5E" w:rsidRPr="006E2B5E" w:rsidRDefault="006E2B5E" w:rsidP="006E2B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743"/>
        <w:gridCol w:w="2807"/>
        <w:gridCol w:w="1737"/>
        <w:gridCol w:w="1276"/>
        <w:gridCol w:w="2622"/>
      </w:tblGrid>
      <w:tr w:rsidR="006E2B5E" w:rsidRPr="006E2B5E" w:rsidTr="004136CD">
        <w:tc>
          <w:tcPr>
            <w:tcW w:w="525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3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807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737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276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22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6E2B5E" w:rsidRPr="006E2B5E" w:rsidTr="004136CD">
        <w:tc>
          <w:tcPr>
            <w:tcW w:w="525" w:type="dxa"/>
          </w:tcPr>
          <w:p w:rsidR="006E2B5E" w:rsidRPr="006E2B5E" w:rsidRDefault="006E2B5E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6E2B5E" w:rsidRPr="006E2B5E" w:rsidRDefault="00F46CBA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6E2B5E" w:rsidRPr="006E2B5E" w:rsidRDefault="00F46CBA" w:rsidP="000A36C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Рассмотрение поданной заявки с комплектом необходимых документов юридическим или физическим лицом (далее - заявитель), которое имеет намерение осуществить </w:t>
            </w:r>
            <w:r w:rsidR="000A36C1">
              <w:t xml:space="preserve">временное </w:t>
            </w:r>
            <w:r>
              <w:t>технологическое присоединение</w:t>
            </w:r>
            <w:r w:rsidR="000A36C1">
              <w:t>.</w:t>
            </w:r>
          </w:p>
        </w:tc>
        <w:tc>
          <w:tcPr>
            <w:tcW w:w="1737" w:type="dxa"/>
          </w:tcPr>
          <w:p w:rsidR="006E2B5E" w:rsidRPr="006E2B5E" w:rsidRDefault="00F46CBA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рассмотрение</w:t>
            </w:r>
          </w:p>
        </w:tc>
        <w:tc>
          <w:tcPr>
            <w:tcW w:w="1276" w:type="dxa"/>
          </w:tcPr>
          <w:p w:rsidR="006E2B5E" w:rsidRPr="006E2B5E" w:rsidRDefault="00705907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6CBA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  <w:tc>
          <w:tcPr>
            <w:tcW w:w="2622" w:type="dxa"/>
          </w:tcPr>
          <w:p w:rsidR="006E2B5E" w:rsidRDefault="00F46CBA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A">
              <w:rPr>
                <w:rFonts w:ascii="Times New Roman" w:hAnsi="Times New Roman" w:cs="Times New Roman"/>
                <w:sz w:val="24"/>
                <w:szCs w:val="24"/>
              </w:rPr>
              <w:t xml:space="preserve">П.15 Правил технологического присоединения </w:t>
            </w:r>
            <w:proofErr w:type="spellStart"/>
            <w:r w:rsidRPr="00F46CBA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F46CBA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к электрическим сетям, утвержденным Постановлением Правительства Российской Федерации от 27.12.2004г. №861</w:t>
            </w:r>
          </w:p>
          <w:p w:rsidR="006B10A9" w:rsidRPr="00F46CBA" w:rsidRDefault="006B10A9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Правила)</w:t>
            </w:r>
          </w:p>
        </w:tc>
      </w:tr>
      <w:tr w:rsidR="000A36C1" w:rsidRPr="006E2B5E" w:rsidTr="004136CD">
        <w:tc>
          <w:tcPr>
            <w:tcW w:w="525" w:type="dxa"/>
          </w:tcPr>
          <w:p w:rsidR="000A36C1" w:rsidRPr="006E2B5E" w:rsidRDefault="000A36C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0A36C1" w:rsidRPr="006E2B5E" w:rsidRDefault="000A36C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:rsidR="000A36C1" w:rsidRPr="006E2B5E" w:rsidRDefault="000A36C1" w:rsidP="000A36C1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</w:t>
            </w:r>
            <w:r>
              <w:t xml:space="preserve">и направляет уведомление </w:t>
            </w:r>
            <w:r>
              <w:t>о возможности временного технологического присоединения</w:t>
            </w:r>
          </w:p>
        </w:tc>
        <w:tc>
          <w:tcPr>
            <w:tcW w:w="1737" w:type="dxa"/>
          </w:tcPr>
          <w:p w:rsidR="000A36C1" w:rsidRPr="006E2B5E" w:rsidRDefault="000A36C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договора на технологическое присоединение и технических условий</w:t>
            </w:r>
          </w:p>
        </w:tc>
        <w:tc>
          <w:tcPr>
            <w:tcW w:w="1276" w:type="dxa"/>
          </w:tcPr>
          <w:p w:rsidR="000A36C1" w:rsidRPr="006E2B5E" w:rsidRDefault="000A36C1" w:rsidP="000A36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течение 1</w:t>
            </w:r>
            <w:r>
              <w:t>0 рабочих</w:t>
            </w:r>
            <w:r>
              <w:t xml:space="preserve"> дней со дня получения заявки от заявителя </w:t>
            </w:r>
          </w:p>
        </w:tc>
        <w:tc>
          <w:tcPr>
            <w:tcW w:w="2622" w:type="dxa"/>
          </w:tcPr>
          <w:p w:rsidR="000A36C1" w:rsidRPr="00F46CBA" w:rsidRDefault="000A36C1" w:rsidP="000A36C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</w:tc>
      </w:tr>
      <w:tr w:rsidR="000A36C1" w:rsidRPr="006E2B5E" w:rsidTr="004136CD">
        <w:tc>
          <w:tcPr>
            <w:tcW w:w="525" w:type="dxa"/>
          </w:tcPr>
          <w:p w:rsidR="000A36C1" w:rsidRPr="006E2B5E" w:rsidRDefault="000A36C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0A36C1" w:rsidRDefault="000A36C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:rsidR="000A36C1" w:rsidRDefault="000A36C1" w:rsidP="00882864">
            <w:pPr>
              <w:pStyle w:val="ConsPlusNormal"/>
              <w:spacing w:before="220"/>
            </w:pPr>
            <w:r>
              <w:t>Выполнение сторонами договора мероприятий по выполнению технических условий предусмотренных договором;</w:t>
            </w:r>
          </w:p>
        </w:tc>
        <w:tc>
          <w:tcPr>
            <w:tcW w:w="1737" w:type="dxa"/>
          </w:tcPr>
          <w:p w:rsidR="000A36C1" w:rsidRPr="006E2B5E" w:rsidRDefault="000A36C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электромонтажных работ</w:t>
            </w:r>
          </w:p>
        </w:tc>
        <w:tc>
          <w:tcPr>
            <w:tcW w:w="1276" w:type="dxa"/>
          </w:tcPr>
          <w:p w:rsidR="000A36C1" w:rsidRDefault="000A36C1" w:rsidP="00882864">
            <w:pPr>
              <w:pStyle w:val="ConsPlusNormal"/>
              <w:jc w:val="center"/>
            </w:pPr>
            <w:r>
              <w:t>В течение 10 дней составляется и подписывается акт о выполнении ТУ</w:t>
            </w:r>
          </w:p>
        </w:tc>
        <w:tc>
          <w:tcPr>
            <w:tcW w:w="2622" w:type="dxa"/>
          </w:tcPr>
          <w:p w:rsidR="000A36C1" w:rsidRDefault="000A36C1" w:rsidP="00882864">
            <w:pPr>
              <w:pStyle w:val="ConsPlusNormal"/>
              <w:jc w:val="center"/>
            </w:pPr>
            <w:r>
              <w:t>П. 7в Правил</w:t>
            </w:r>
          </w:p>
          <w:p w:rsidR="000A36C1" w:rsidRDefault="000A36C1" w:rsidP="00882864">
            <w:pPr>
              <w:pStyle w:val="ConsPlusNormal"/>
              <w:jc w:val="center"/>
            </w:pPr>
            <w:r>
              <w:t>П.99 Правил</w:t>
            </w:r>
          </w:p>
        </w:tc>
      </w:tr>
      <w:tr w:rsidR="000A36C1" w:rsidRPr="006E2B5E" w:rsidTr="004136CD">
        <w:tc>
          <w:tcPr>
            <w:tcW w:w="525" w:type="dxa"/>
          </w:tcPr>
          <w:p w:rsidR="000A36C1" w:rsidRDefault="004136CD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0A36C1" w:rsidRDefault="004136CD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:rsidR="000A36C1" w:rsidRDefault="000A36C1" w:rsidP="00882864">
            <w:pPr>
              <w:pStyle w:val="ConsPlusNormal"/>
              <w:spacing w:before="220"/>
            </w:pPr>
            <w:r>
              <w:t>Осуществление сетевой организацией фактического присоединения объектов заявителя к электрическим сетям и фактического приема (подачи) напряжения и мощности.</w:t>
            </w:r>
          </w:p>
        </w:tc>
        <w:tc>
          <w:tcPr>
            <w:tcW w:w="1737" w:type="dxa"/>
          </w:tcPr>
          <w:p w:rsidR="000A36C1" w:rsidRDefault="000A36C1" w:rsidP="00882864">
            <w:pPr>
              <w:pStyle w:val="ConsPlusNormal"/>
              <w:spacing w:before="220"/>
              <w:ind w:firstLine="540"/>
              <w:jc w:val="both"/>
            </w:pPr>
            <w:r>
              <w:t xml:space="preserve">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заявителя </w:t>
            </w:r>
          </w:p>
          <w:p w:rsidR="000A36C1" w:rsidRDefault="000A36C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6C1" w:rsidRDefault="000A36C1" w:rsidP="00882864">
            <w:pPr>
              <w:pStyle w:val="ConsPlusNormal"/>
              <w:jc w:val="center"/>
            </w:pPr>
          </w:p>
        </w:tc>
        <w:tc>
          <w:tcPr>
            <w:tcW w:w="2622" w:type="dxa"/>
          </w:tcPr>
          <w:p w:rsidR="000A36C1" w:rsidRDefault="000A36C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П.7д Правил</w:t>
            </w:r>
          </w:p>
          <w:p w:rsidR="000A36C1" w:rsidRPr="006B10A9" w:rsidRDefault="000A36C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C1" w:rsidRPr="006E2B5E" w:rsidTr="004136CD">
        <w:tc>
          <w:tcPr>
            <w:tcW w:w="525" w:type="dxa"/>
          </w:tcPr>
          <w:p w:rsidR="000A36C1" w:rsidRDefault="004136CD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0A36C1" w:rsidRDefault="004136CD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0A36C1" w:rsidRDefault="000A36C1" w:rsidP="00882864">
            <w:pPr>
              <w:pStyle w:val="ConsPlusNormal"/>
              <w:spacing w:before="220"/>
              <w:ind w:firstLine="540"/>
              <w:jc w:val="both"/>
            </w:pPr>
            <w:proofErr w:type="gramStart"/>
            <w:r>
              <w:t xml:space="preserve">Составление акта об осуществлении технологического присоединения, а также акта согласования технологической и (или) аварийной брони (для заявителей, указанных в </w:t>
            </w:r>
            <w:hyperlink w:anchor="P917" w:history="1">
              <w:r w:rsidRPr="004136CD">
                <w:t>пункте 14(2</w:t>
              </w:r>
              <w:r>
                <w:rPr>
                  <w:color w:val="0000FF"/>
                </w:rPr>
                <w:t>)</w:t>
              </w:r>
            </w:hyperlink>
            <w:r w:rsidR="004136CD">
              <w:t xml:space="preserve"> Правил</w:t>
            </w:r>
            <w:r>
              <w:t>.</w:t>
            </w:r>
            <w:proofErr w:type="gramEnd"/>
          </w:p>
          <w:p w:rsidR="000A36C1" w:rsidRDefault="000A36C1" w:rsidP="00882864">
            <w:pPr>
              <w:pStyle w:val="ConsPlusNormal"/>
              <w:spacing w:before="220"/>
            </w:pPr>
            <w:bookmarkStart w:id="0" w:name="_GoBack"/>
            <w:bookmarkEnd w:id="0"/>
          </w:p>
        </w:tc>
        <w:tc>
          <w:tcPr>
            <w:tcW w:w="1737" w:type="dxa"/>
          </w:tcPr>
          <w:p w:rsidR="000A36C1" w:rsidRDefault="000A36C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6C1" w:rsidRDefault="000A36C1" w:rsidP="00882864">
            <w:pPr>
              <w:pStyle w:val="ConsPlusNormal"/>
              <w:jc w:val="center"/>
            </w:pPr>
            <w:r>
              <w:t>Не более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</w:t>
            </w:r>
          </w:p>
        </w:tc>
        <w:tc>
          <w:tcPr>
            <w:tcW w:w="2622" w:type="dxa"/>
          </w:tcPr>
          <w:p w:rsidR="000A36C1" w:rsidRDefault="000A36C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П.7е Правил</w:t>
            </w:r>
          </w:p>
          <w:p w:rsidR="000A36C1" w:rsidRPr="006B10A9" w:rsidRDefault="000A36C1" w:rsidP="0088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П.102 Правил</w:t>
            </w:r>
          </w:p>
        </w:tc>
      </w:tr>
    </w:tbl>
    <w:p w:rsidR="000A36C1" w:rsidRPr="006E2B5E" w:rsidRDefault="000A36C1" w:rsidP="000A36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36C1" w:rsidRDefault="000A36C1" w:rsidP="000A36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413">
        <w:rPr>
          <w:rFonts w:ascii="Times New Roman" w:hAnsi="Times New Roman" w:cs="Times New Roman"/>
          <w:sz w:val="24"/>
          <w:szCs w:val="24"/>
          <w:u w:val="single"/>
        </w:rPr>
        <w:t>Контактная информация для направления обращений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36C1" w:rsidRPr="00555413" w:rsidRDefault="000A36C1" w:rsidP="000A36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55413">
        <w:rPr>
          <w:rFonts w:ascii="Times New Roman" w:hAnsi="Times New Roman" w:cs="Times New Roman"/>
          <w:sz w:val="24"/>
          <w:szCs w:val="24"/>
        </w:rPr>
        <w:t xml:space="preserve"> </w:t>
      </w:r>
      <w:r w:rsidRPr="00555413">
        <w:rPr>
          <w:rFonts w:ascii="Times New Roman" w:eastAsia="Calibri" w:hAnsi="Times New Roman" w:cs="Times New Roman"/>
          <w:sz w:val="24"/>
          <w:szCs w:val="24"/>
        </w:rPr>
        <w:t>тел.  (4012) 567-008,</w:t>
      </w:r>
    </w:p>
    <w:p w:rsidR="000A36C1" w:rsidRPr="00555413" w:rsidRDefault="000A36C1" w:rsidP="000A36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55413">
        <w:rPr>
          <w:rFonts w:ascii="Times New Roman" w:eastAsia="Calibri" w:hAnsi="Times New Roman" w:cs="Times New Roman"/>
          <w:sz w:val="24"/>
          <w:szCs w:val="24"/>
        </w:rPr>
        <w:t>факс (4012) 567-002</w:t>
      </w:r>
    </w:p>
    <w:p w:rsidR="000A36C1" w:rsidRPr="00555413" w:rsidRDefault="000A36C1" w:rsidP="000A36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Pr="0055541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555413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55541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zek</w:t>
        </w:r>
        <w:r w:rsidRPr="00555413">
          <w:rPr>
            <w:rStyle w:val="a4"/>
            <w:rFonts w:ascii="Times New Roman" w:eastAsia="Calibri" w:hAnsi="Times New Roman" w:cs="Times New Roman"/>
            <w:sz w:val="24"/>
            <w:szCs w:val="24"/>
          </w:rPr>
          <w:t>39.</w:t>
        </w:r>
        <w:r w:rsidRPr="0055541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55541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55413">
        <w:rPr>
          <w:rFonts w:ascii="Times New Roman" w:eastAsia="Calibri" w:hAnsi="Times New Roman" w:cs="Times New Roman"/>
          <w:sz w:val="24"/>
          <w:szCs w:val="24"/>
          <w:lang w:val="en-US"/>
        </w:rPr>
        <w:t>wpc</w:t>
      </w:r>
      <w:r w:rsidRPr="00555413">
        <w:rPr>
          <w:rFonts w:ascii="Times New Roman" w:eastAsia="Calibri" w:hAnsi="Times New Roman" w:cs="Times New Roman"/>
          <w:sz w:val="24"/>
          <w:szCs w:val="24"/>
        </w:rPr>
        <w:t>@</w:t>
      </w:r>
      <w:r w:rsidRPr="00555413">
        <w:rPr>
          <w:rFonts w:ascii="Times New Roman" w:eastAsia="Calibri" w:hAnsi="Times New Roman" w:cs="Times New Roman"/>
          <w:sz w:val="24"/>
          <w:szCs w:val="24"/>
          <w:lang w:val="en-US"/>
        </w:rPr>
        <w:t>inbox</w:t>
      </w:r>
      <w:r w:rsidRPr="00555413">
        <w:rPr>
          <w:rFonts w:ascii="Times New Roman" w:eastAsia="Calibri" w:hAnsi="Times New Roman" w:cs="Times New Roman"/>
          <w:sz w:val="24"/>
          <w:szCs w:val="24"/>
        </w:rPr>
        <w:t>.</w:t>
      </w:r>
      <w:r w:rsidRPr="0055541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0A36C1" w:rsidRPr="00555413" w:rsidRDefault="000A36C1" w:rsidP="000A36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1EE9" w:rsidRPr="006E2B5E" w:rsidRDefault="00351EE9">
      <w:pPr>
        <w:rPr>
          <w:rFonts w:ascii="Times New Roman" w:hAnsi="Times New Roman" w:cs="Times New Roman"/>
          <w:sz w:val="24"/>
          <w:szCs w:val="24"/>
        </w:rPr>
      </w:pPr>
    </w:p>
    <w:sectPr w:rsidR="00351EE9" w:rsidRPr="006E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74F41"/>
    <w:multiLevelType w:val="hybridMultilevel"/>
    <w:tmpl w:val="8346A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67"/>
    <w:rsid w:val="00047567"/>
    <w:rsid w:val="000A36C1"/>
    <w:rsid w:val="002125ED"/>
    <w:rsid w:val="00294A30"/>
    <w:rsid w:val="002D5EC9"/>
    <w:rsid w:val="00351EE9"/>
    <w:rsid w:val="004136CD"/>
    <w:rsid w:val="004F7042"/>
    <w:rsid w:val="00523F31"/>
    <w:rsid w:val="00555413"/>
    <w:rsid w:val="006B10A9"/>
    <w:rsid w:val="006E2B5E"/>
    <w:rsid w:val="00705907"/>
    <w:rsid w:val="008D13DC"/>
    <w:rsid w:val="008F34E9"/>
    <w:rsid w:val="00D34F75"/>
    <w:rsid w:val="00D36D12"/>
    <w:rsid w:val="00DC5FEC"/>
    <w:rsid w:val="00F4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B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4A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54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B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4A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5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0AE7A-3DCD-4032-94A9-C85EE91B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Б. Апинит</dc:creator>
  <cp:lastModifiedBy>Олег Б. Апинит</cp:lastModifiedBy>
  <cp:revision>3</cp:revision>
  <dcterms:created xsi:type="dcterms:W3CDTF">2017-12-15T13:32:00Z</dcterms:created>
  <dcterms:modified xsi:type="dcterms:W3CDTF">2017-12-15T14:20:00Z</dcterms:modified>
</cp:coreProperties>
</file>