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Pr="00C9687D" w:rsidRDefault="00FE5CE4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35"/>
        <w:gridCol w:w="6046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Default="002B67C2" w:rsidP="003C7119">
            <w:pPr>
              <w:jc w:val="both"/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  <w:p w:rsidR="0003169A" w:rsidRPr="003C7119" w:rsidRDefault="0003169A" w:rsidP="0003169A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Тел.: + 7(4012) 567-010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электронной почты: </w:t>
            </w:r>
            <w:proofErr w:type="spellStart"/>
            <w:r>
              <w:rPr>
                <w:rFonts w:cs="Times New Roman"/>
                <w:lang w:val="en-US"/>
              </w:rPr>
              <w:t>wpc</w:t>
            </w:r>
            <w:proofErr w:type="spellEnd"/>
            <w:r w:rsidRPr="0003169A">
              <w:rPr>
                <w:rFonts w:cs="Times New Roman"/>
              </w:rPr>
              <w:t xml:space="preserve">@ </w:t>
            </w:r>
            <w:r>
              <w:rPr>
                <w:rFonts w:cs="Times New Roman"/>
                <w:lang w:val="en-US"/>
              </w:rPr>
              <w:t>inbox</w:t>
            </w:r>
            <w:r w:rsidRPr="0003169A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03169A">
              <w:rPr>
                <w:rFonts w:cs="Times New Roman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B4331B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B4331B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B4331B" w:rsidRDefault="00841A9B" w:rsidP="008846B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B4331B">
              <w:rPr>
                <w:color w:val="auto"/>
                <w:sz w:val="22"/>
                <w:szCs w:val="22"/>
              </w:rPr>
              <w:t>«</w:t>
            </w:r>
            <w:r w:rsidR="00B4331B" w:rsidRPr="00B4331B">
              <w:rPr>
                <w:color w:val="auto"/>
                <w:sz w:val="22"/>
                <w:szCs w:val="22"/>
              </w:rPr>
              <w:t xml:space="preserve">Поставка </w:t>
            </w:r>
            <w:r w:rsidR="00B4331B" w:rsidRPr="00B4331B">
              <w:rPr>
                <w:sz w:val="22"/>
                <w:szCs w:val="22"/>
              </w:rPr>
              <w:t>терминала РЗА (релейной защиты и автоматики)</w:t>
            </w:r>
            <w:r w:rsidR="004C012D" w:rsidRPr="00B4331B">
              <w:rPr>
                <w:color w:val="auto"/>
                <w:sz w:val="22"/>
                <w:szCs w:val="22"/>
              </w:rPr>
              <w:t>»</w:t>
            </w:r>
            <w:r w:rsidR="002B67C2" w:rsidRPr="00B4331B">
              <w:rPr>
                <w:color w:val="auto"/>
                <w:sz w:val="22"/>
                <w:szCs w:val="22"/>
              </w:rPr>
              <w:t>.</w:t>
            </w:r>
            <w:r w:rsidRPr="00B4331B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B4331B" w:rsidP="008846B3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b/>
                <w:sz w:val="22"/>
                <w:szCs w:val="22"/>
              </w:rPr>
              <w:t>101 775</w:t>
            </w:r>
            <w:r w:rsidR="004C012D" w:rsidRPr="004C012D">
              <w:rPr>
                <w:b/>
                <w:bCs/>
                <w:sz w:val="22"/>
                <w:szCs w:val="22"/>
              </w:rPr>
              <w:t xml:space="preserve"> 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Сто одна тысяча семьсот семьдесят пять руб. 00 коп</w:t>
            </w:r>
            <w:r w:rsidR="008846B3" w:rsidRPr="008846B3">
              <w:rPr>
                <w:rFonts w:cs="Times New Roman"/>
                <w:b/>
                <w:spacing w:val="8"/>
                <w:sz w:val="22"/>
                <w:szCs w:val="22"/>
              </w:rPr>
              <w:t>.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).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C14765">
        <w:trPr>
          <w:trHeight w:val="353"/>
          <w:jc w:val="center"/>
        </w:trPr>
        <w:tc>
          <w:tcPr>
            <w:tcW w:w="1839" w:type="dxa"/>
            <w:shd w:val="clear" w:color="auto" w:fill="auto"/>
          </w:tcPr>
          <w:p w:rsidR="00FE5CE4" w:rsidRPr="00C80BD0" w:rsidRDefault="0048784D" w:rsidP="001E3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27.12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48784D" w:rsidP="001E398F">
            <w:pPr>
              <w:jc w:val="center"/>
            </w:pPr>
            <w:r>
              <w:t>27.12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48784D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1E398F" w:rsidRDefault="00B4331B" w:rsidP="004C012D">
            <w:pPr>
              <w:contextualSpacing/>
              <w:jc w:val="center"/>
            </w:pPr>
            <w:r w:rsidRPr="00B4331B">
              <w:rPr>
                <w:sz w:val="22"/>
                <w:szCs w:val="22"/>
              </w:rPr>
              <w:t>Поставка терминала РЗА (релейной защиты и автоматики)</w:t>
            </w:r>
            <w:r w:rsidR="008846B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8846B3" w:rsidRDefault="008846B3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8846B3" w:rsidRDefault="008846B3" w:rsidP="00B4331B">
      <w:pPr>
        <w:contextualSpacing/>
        <w:rPr>
          <w:b/>
          <w:color w:val="000000"/>
          <w:sz w:val="22"/>
          <w:szCs w:val="22"/>
        </w:rPr>
      </w:pPr>
    </w:p>
    <w:p w:rsidR="00B4331B" w:rsidRPr="00B4331B" w:rsidRDefault="00B4331B" w:rsidP="00B4331B">
      <w:pPr>
        <w:contextualSpacing/>
        <w:rPr>
          <w:b/>
          <w:color w:val="000000"/>
          <w:sz w:val="22"/>
          <w:szCs w:val="22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5B" w:rsidRDefault="007A6F5B" w:rsidP="00FE5CE4">
      <w:r>
        <w:separator/>
      </w:r>
    </w:p>
  </w:endnote>
  <w:endnote w:type="continuationSeparator" w:id="0">
    <w:p w:rsidR="007A6F5B" w:rsidRDefault="007A6F5B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560A3A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9E1967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5B" w:rsidRDefault="007A6F5B" w:rsidP="00FE5CE4">
      <w:r>
        <w:separator/>
      </w:r>
    </w:p>
  </w:footnote>
  <w:footnote w:type="continuationSeparator" w:id="0">
    <w:p w:rsidR="007A6F5B" w:rsidRDefault="007A6F5B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CE4"/>
    <w:rsid w:val="0003169A"/>
    <w:rsid w:val="0003455B"/>
    <w:rsid w:val="00053F8A"/>
    <w:rsid w:val="00067C36"/>
    <w:rsid w:val="00084088"/>
    <w:rsid w:val="00091514"/>
    <w:rsid w:val="00183528"/>
    <w:rsid w:val="001D46B8"/>
    <w:rsid w:val="001E398F"/>
    <w:rsid w:val="001F3638"/>
    <w:rsid w:val="00242E3A"/>
    <w:rsid w:val="00294603"/>
    <w:rsid w:val="002B67C2"/>
    <w:rsid w:val="002F23F2"/>
    <w:rsid w:val="00364746"/>
    <w:rsid w:val="0037365A"/>
    <w:rsid w:val="003C7119"/>
    <w:rsid w:val="00466F08"/>
    <w:rsid w:val="0048784D"/>
    <w:rsid w:val="004C012D"/>
    <w:rsid w:val="004C3DDE"/>
    <w:rsid w:val="004C64D6"/>
    <w:rsid w:val="004E4269"/>
    <w:rsid w:val="00560A3A"/>
    <w:rsid w:val="0056260B"/>
    <w:rsid w:val="00756285"/>
    <w:rsid w:val="007A6F5B"/>
    <w:rsid w:val="00813CB4"/>
    <w:rsid w:val="00841A9B"/>
    <w:rsid w:val="008846B3"/>
    <w:rsid w:val="00991936"/>
    <w:rsid w:val="009E1967"/>
    <w:rsid w:val="00B40155"/>
    <w:rsid w:val="00B4331B"/>
    <w:rsid w:val="00C14765"/>
    <w:rsid w:val="00C80BD0"/>
    <w:rsid w:val="00CC6FF2"/>
    <w:rsid w:val="00CE7B9D"/>
    <w:rsid w:val="00D002A3"/>
    <w:rsid w:val="00D528E3"/>
    <w:rsid w:val="00D71F86"/>
    <w:rsid w:val="00D81847"/>
    <w:rsid w:val="00D845C0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3278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cp:lastPrinted>2018-06-05T15:16:00Z</cp:lastPrinted>
  <dcterms:created xsi:type="dcterms:W3CDTF">2018-02-01T08:46:00Z</dcterms:created>
  <dcterms:modified xsi:type="dcterms:W3CDTF">2018-09-24T13:37:00Z</dcterms:modified>
</cp:coreProperties>
</file>